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27F41">
      <w:pPr>
        <w:jc w:val="center"/>
        <w:rPr>
          <w:b/>
          <w:sz w:val="36"/>
        </w:rPr>
      </w:pPr>
      <w:r>
        <w:rPr>
          <w:rFonts w:hint="eastAsia"/>
          <w:b/>
          <w:sz w:val="36"/>
          <w:lang w:eastAsia="zh-CN"/>
        </w:rPr>
        <w:t>污水处理运维服务项目需求书</w:t>
      </w:r>
    </w:p>
    <w:p w14:paraId="64D324E4">
      <w:pPr>
        <w:rPr>
          <w:rFonts w:hint="eastAsia"/>
          <w:b/>
          <w:sz w:val="28"/>
        </w:rPr>
      </w:pPr>
    </w:p>
    <w:p w14:paraId="582E0101">
      <w:r>
        <w:rPr>
          <w:b/>
          <w:sz w:val="28"/>
        </w:rPr>
        <w:t>一、项目</w:t>
      </w:r>
      <w:r>
        <w:rPr>
          <w:b/>
          <w:color w:val="000000"/>
          <w:sz w:val="24"/>
        </w:rPr>
        <w:t>基本概况</w:t>
      </w:r>
    </w:p>
    <w:p w14:paraId="29D9E65E">
      <w:r>
        <w:rPr>
          <w:color w:val="000000"/>
          <w:sz w:val="24"/>
        </w:rPr>
        <w:t>（一）服务范围：污水处理运维服务</w:t>
      </w:r>
    </w:p>
    <w:p w14:paraId="6331ECEC">
      <w:r>
        <w:rPr>
          <w:color w:val="000000"/>
          <w:sz w:val="24"/>
        </w:rPr>
        <w:t>（二）服务要求：提供的服务须满足采购需求的要求、响应文件中的相关承诺及合同约定要求。</w:t>
      </w:r>
    </w:p>
    <w:p w14:paraId="300531DC">
      <w:r>
        <w:rPr>
          <w:color w:val="000000"/>
          <w:sz w:val="24"/>
        </w:rPr>
        <w:t>（三）服务时间（履行期限）：合同签订之日起</w:t>
      </w:r>
      <w:r>
        <w:rPr>
          <w:rFonts w:hint="eastAsia"/>
          <w:color w:val="000000"/>
          <w:sz w:val="24"/>
          <w:lang w:val="en-US" w:eastAsia="zh-CN"/>
        </w:rPr>
        <w:t>3</w:t>
      </w:r>
      <w:r>
        <w:rPr>
          <w:color w:val="000000"/>
          <w:sz w:val="24"/>
        </w:rPr>
        <w:t>年。</w:t>
      </w:r>
    </w:p>
    <w:p w14:paraId="0BC560E9">
      <w:r>
        <w:rPr>
          <w:color w:val="000000"/>
          <w:sz w:val="24"/>
        </w:rPr>
        <w:t>（四）服务标准：符合采购需求规定的国家标准和行业规范。</w:t>
      </w:r>
    </w:p>
    <w:p w14:paraId="1CA8CDEC">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420"/>
        <w:gridCol w:w="5102"/>
      </w:tblGrid>
      <w:tr w14:paraId="6880A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420" w:type="dxa"/>
          </w:tcPr>
          <w:p w14:paraId="435F02C8">
            <w:r>
              <w:rPr>
                <w:rFonts w:hint="eastAsia"/>
                <w:lang w:eastAsia="zh-CN"/>
              </w:rPr>
              <w:t>服务</w:t>
            </w:r>
            <w:r>
              <w:t>时间</w:t>
            </w:r>
          </w:p>
        </w:tc>
        <w:tc>
          <w:tcPr>
            <w:tcW w:w="5102" w:type="dxa"/>
          </w:tcPr>
          <w:p w14:paraId="44EA1C84"/>
          <w:p w14:paraId="3DFAD362">
            <w:r>
              <w:t>合同签订之日起</w:t>
            </w:r>
            <w:r>
              <w:rPr>
                <w:rFonts w:hint="eastAsia"/>
                <w:lang w:val="en-US" w:eastAsia="zh-CN"/>
              </w:rPr>
              <w:t>3</w:t>
            </w:r>
            <w:r>
              <w:t>年。</w:t>
            </w:r>
          </w:p>
        </w:tc>
      </w:tr>
      <w:tr w14:paraId="05E3B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20" w:type="dxa"/>
          </w:tcPr>
          <w:p w14:paraId="243006A8">
            <w:pPr>
              <w:rPr>
                <w:rFonts w:hint="eastAsia" w:eastAsiaTheme="minorEastAsia"/>
                <w:lang w:eastAsia="zh-CN"/>
              </w:rPr>
            </w:pPr>
            <w:r>
              <w:rPr>
                <w:rFonts w:hint="eastAsia"/>
                <w:lang w:eastAsia="zh-CN"/>
              </w:rPr>
              <w:t>服务范围</w:t>
            </w:r>
          </w:p>
        </w:tc>
        <w:tc>
          <w:tcPr>
            <w:tcW w:w="5102" w:type="dxa"/>
          </w:tcPr>
          <w:p w14:paraId="4A8D0908">
            <w:r>
              <w:rPr>
                <w:rFonts w:hint="eastAsia"/>
                <w:sz w:val="24"/>
              </w:rPr>
              <w:t>广州医科大学附属口腔医院</w:t>
            </w:r>
            <w:r>
              <w:rPr>
                <w:rFonts w:hint="eastAsia"/>
                <w:sz w:val="24"/>
                <w:lang w:eastAsia="zh-CN"/>
              </w:rPr>
              <w:t>所属</w:t>
            </w:r>
            <w:r>
              <w:rPr>
                <w:rFonts w:hint="eastAsia"/>
                <w:sz w:val="24"/>
                <w:lang w:val="en-US" w:eastAsia="zh-CN"/>
              </w:rPr>
              <w:t>6</w:t>
            </w:r>
            <w:r>
              <w:rPr>
                <w:rFonts w:hint="eastAsia"/>
                <w:sz w:val="24"/>
              </w:rPr>
              <w:t>个污水站点</w:t>
            </w:r>
          </w:p>
        </w:tc>
      </w:tr>
      <w:tr w14:paraId="4416B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20" w:type="dxa"/>
          </w:tcPr>
          <w:p w14:paraId="4C4EF443">
            <w:r>
              <w:t>验收要求</w:t>
            </w:r>
          </w:p>
        </w:tc>
        <w:tc>
          <w:tcPr>
            <w:tcW w:w="5102" w:type="dxa"/>
          </w:tcPr>
          <w:p w14:paraId="6E0A21F0"/>
          <w:p w14:paraId="7907F564"/>
          <w:p w14:paraId="6BDF001A"/>
          <w:p w14:paraId="5E190578">
            <w:r>
              <w:t>1期：（1）采购人收到供应商项目验收建议之日起7日内按照合同的约定对履约情况进行验收，对每一项技术、服务、安全标准的履约情况进行确认。 （2）验收由采购人、</w:t>
            </w:r>
            <w:r>
              <w:rPr>
                <w:rFonts w:hint="eastAsia"/>
                <w:lang w:eastAsia="zh-CN"/>
              </w:rPr>
              <w:t>供应商</w:t>
            </w:r>
            <w:r>
              <w:t>及相关人员现场依国家有关标准、合同及有关附件要求进行，确认</w:t>
            </w:r>
            <w:r>
              <w:rPr>
                <w:rFonts w:hint="eastAsia"/>
                <w:lang w:eastAsia="zh-CN"/>
              </w:rPr>
              <w:t>供应商</w:t>
            </w:r>
            <w:r>
              <w:t>履行完成合同约定权利义务事项后，</w:t>
            </w:r>
            <w:r>
              <w:rPr>
                <w:rFonts w:hint="eastAsia"/>
                <w:lang w:eastAsia="zh-CN"/>
              </w:rPr>
              <w:t>供应商</w:t>
            </w:r>
            <w:r>
              <w:t>须移交运营台账交由采购人保管。</w:t>
            </w:r>
          </w:p>
        </w:tc>
      </w:tr>
      <w:tr w14:paraId="1AB12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20" w:type="dxa"/>
          </w:tcPr>
          <w:p w14:paraId="5712770B">
            <w:r>
              <w:t>其他</w:t>
            </w:r>
          </w:p>
        </w:tc>
        <w:tc>
          <w:tcPr>
            <w:tcW w:w="5102" w:type="dxa"/>
          </w:tcPr>
          <w:p w14:paraId="3EBDA589">
            <w:pPr>
              <w:rPr>
                <w:rFonts w:hint="eastAsia" w:eastAsiaTheme="minorEastAsia"/>
                <w:lang w:eastAsia="zh-CN"/>
              </w:rPr>
            </w:pPr>
            <w:r>
              <w:rPr>
                <w:rFonts w:hint="eastAsia"/>
              </w:rPr>
              <w:t>因采购人原因需调整污水站运营服务时（包括停运或者增加服务站点），按报价明细协商核减/核增服务费用，如采购人需核增污水站运营服务，在不改变合同其他条款的前提下，与中标供应商协商签订补充合同，所有补充合同的采购金额不得超过原合同采购金额的百分之十</w:t>
            </w:r>
            <w:r>
              <w:rPr>
                <w:rFonts w:hint="eastAsia"/>
                <w:lang w:eastAsia="zh-CN"/>
              </w:rPr>
              <w:t>。</w:t>
            </w:r>
          </w:p>
          <w:p w14:paraId="3181AA26"/>
        </w:tc>
      </w:tr>
    </w:tbl>
    <w:p w14:paraId="41759C7B"/>
    <w:p w14:paraId="1AF66A12">
      <w:r>
        <w:t>其他商务需求</w:t>
      </w:r>
    </w:p>
    <w:p w14:paraId="19D707ED"/>
    <w:tbl>
      <w:tblPr>
        <w:tblStyle w:val="2"/>
        <w:tblW w:w="886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1"/>
        <w:gridCol w:w="1800"/>
        <w:gridCol w:w="5600"/>
      </w:tblGrid>
      <w:tr w14:paraId="6C60A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61" w:type="dxa"/>
          </w:tcPr>
          <w:p w14:paraId="78231CF3">
            <w:pPr>
              <w:jc w:val="center"/>
            </w:pPr>
            <w:r>
              <w:t>编号</w:t>
            </w:r>
          </w:p>
        </w:tc>
        <w:tc>
          <w:tcPr>
            <w:tcW w:w="1800" w:type="dxa"/>
          </w:tcPr>
          <w:p w14:paraId="4BBB77F5">
            <w:pPr>
              <w:jc w:val="center"/>
            </w:pPr>
            <w:r>
              <w:t>内容明细</w:t>
            </w:r>
          </w:p>
        </w:tc>
        <w:tc>
          <w:tcPr>
            <w:tcW w:w="5600" w:type="dxa"/>
          </w:tcPr>
          <w:p w14:paraId="3C4F862F">
            <w:pPr>
              <w:jc w:val="center"/>
            </w:pPr>
            <w:r>
              <w:t>内容说明</w:t>
            </w:r>
          </w:p>
        </w:tc>
      </w:tr>
      <w:tr w14:paraId="62AE3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1" w:type="dxa"/>
          </w:tcPr>
          <w:p w14:paraId="237618CD">
            <w:pPr>
              <w:jc w:val="center"/>
            </w:pPr>
            <w:r>
              <w:t>1</w:t>
            </w:r>
          </w:p>
        </w:tc>
        <w:tc>
          <w:tcPr>
            <w:tcW w:w="1800" w:type="dxa"/>
          </w:tcPr>
          <w:p w14:paraId="1AE82312">
            <w:pPr>
              <w:jc w:val="left"/>
            </w:pPr>
            <w:r>
              <w:t>报价要求</w:t>
            </w:r>
          </w:p>
        </w:tc>
        <w:tc>
          <w:tcPr>
            <w:tcW w:w="5600" w:type="dxa"/>
          </w:tcPr>
          <w:p w14:paraId="4E3C9A8D">
            <w:pPr>
              <w:jc w:val="left"/>
            </w:pPr>
            <w:r>
              <w:t>总价包干（包括但不限于人工费、所有使用到的药剂费、每月一次的水质检测费、污水处理自动化控制系统及在用监控系统的运维费、备用设备等所有费用）。污水处理站用水、用电由采购人承担。</w:t>
            </w:r>
          </w:p>
        </w:tc>
      </w:tr>
    </w:tbl>
    <w:p w14:paraId="427622C8"/>
    <w:p w14:paraId="61F421E3">
      <w:r>
        <w:rPr>
          <w:b/>
        </w:rPr>
        <w:t>2.技术标准与要求</w:t>
      </w:r>
    </w:p>
    <w:p w14:paraId="08CBA22F"/>
    <w:p w14:paraId="2927407A"/>
    <w:p w14:paraId="519E38A3">
      <w:r>
        <w:rPr>
          <w:b/>
        </w:rPr>
        <w:t>附表一：污水处理运维服务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26"/>
        <w:gridCol w:w="8113"/>
      </w:tblGrid>
      <w:tr w14:paraId="144F4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6" w:type="dxa"/>
          </w:tcPr>
          <w:p w14:paraId="2E9550F8">
            <w:r>
              <w:t>序号</w:t>
            </w:r>
          </w:p>
        </w:tc>
        <w:tc>
          <w:tcPr>
            <w:tcW w:w="8113" w:type="dxa"/>
          </w:tcPr>
          <w:p w14:paraId="2E132633">
            <w:r>
              <w:t>具体技术(参数)要求</w:t>
            </w:r>
          </w:p>
        </w:tc>
      </w:tr>
      <w:tr w14:paraId="603DB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6" w:type="dxa"/>
          </w:tcPr>
          <w:p w14:paraId="2E304AD1">
            <w:r>
              <w:t>1</w:t>
            </w:r>
          </w:p>
        </w:tc>
        <w:tc>
          <w:tcPr>
            <w:tcW w:w="8113" w:type="dxa"/>
          </w:tcPr>
          <w:p w14:paraId="0B0143F6">
            <w:r>
              <w:rPr>
                <w:b/>
                <w:color w:val="000000"/>
                <w:sz w:val="24"/>
              </w:rPr>
              <w:t>一、项目概况</w:t>
            </w:r>
          </w:p>
          <w:p w14:paraId="4E1E8C1E">
            <w:pPr>
              <w:spacing w:line="500" w:lineRule="exact"/>
              <w:ind w:firstLine="448" w:firstLineChars="187"/>
              <w:rPr>
                <w:sz w:val="24"/>
              </w:rPr>
            </w:pPr>
            <w:r>
              <w:rPr>
                <w:rFonts w:hint="eastAsia"/>
                <w:sz w:val="24"/>
              </w:rPr>
              <w:t>广州医科大学附属口腔医院在广州市共建有</w:t>
            </w:r>
            <w:r>
              <w:rPr>
                <w:rFonts w:hint="eastAsia"/>
                <w:sz w:val="24"/>
                <w:lang w:val="en-US" w:eastAsia="zh-CN"/>
              </w:rPr>
              <w:t>6</w:t>
            </w:r>
            <w:r>
              <w:rPr>
                <w:rFonts w:hint="eastAsia"/>
                <w:sz w:val="24"/>
              </w:rPr>
              <w:t>个污水站点（详见表一），用来接纳和处理医疗活动中产生的医疗卫生污水，总污水处理量约：</w:t>
            </w:r>
            <w:r>
              <w:rPr>
                <w:rFonts w:hint="eastAsia"/>
                <w:sz w:val="24"/>
                <w:lang w:val="en-US" w:eastAsia="zh-CN"/>
              </w:rPr>
              <w:t>4350</w:t>
            </w:r>
            <w:r>
              <w:rPr>
                <w:rFonts w:hint="eastAsia"/>
                <w:sz w:val="24"/>
              </w:rPr>
              <w:t>吨/月。为保护环境，满足新的环保法要求，确保污水站日常运营管理工作能正常进行，污水处理稳定达标排放，减少运营管理费用，取得双赢效果。</w:t>
            </w:r>
          </w:p>
          <w:p w14:paraId="2D6A3445">
            <w:pPr>
              <w:tabs>
                <w:tab w:val="left" w:pos="1605"/>
                <w:tab w:val="center" w:pos="4476"/>
              </w:tabs>
              <w:spacing w:line="520" w:lineRule="exact"/>
              <w:ind w:firstLine="392" w:firstLineChars="187"/>
              <w:jc w:val="left"/>
              <w:rPr>
                <w:rFonts w:hint="eastAsia"/>
                <w:szCs w:val="21"/>
              </w:rPr>
            </w:pPr>
            <w:r>
              <w:rPr>
                <w:rFonts w:hint="eastAsia"/>
                <w:szCs w:val="21"/>
              </w:rPr>
              <w:t>表一  广州医科大学附属口腔医院污水</w:t>
            </w:r>
            <w:r>
              <w:rPr>
                <w:szCs w:val="21"/>
              </w:rPr>
              <w:t>处理站点</w:t>
            </w:r>
            <w:r>
              <w:rPr>
                <w:rFonts w:hint="eastAsia"/>
                <w:szCs w:val="21"/>
              </w:rPr>
              <w:t>名单</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3290"/>
              <w:gridCol w:w="2617"/>
              <w:gridCol w:w="1296"/>
            </w:tblGrid>
            <w:tr w14:paraId="082B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84" w:type="dxa"/>
                  <w:noWrap/>
                  <w:vAlign w:val="center"/>
                </w:tcPr>
                <w:p w14:paraId="0B4C0997">
                  <w:pPr>
                    <w:jc w:val="center"/>
                    <w:rPr>
                      <w:szCs w:val="21"/>
                    </w:rPr>
                  </w:pPr>
                  <w:r>
                    <w:rPr>
                      <w:rFonts w:hint="eastAsia"/>
                      <w:szCs w:val="21"/>
                    </w:rPr>
                    <w:t>序号</w:t>
                  </w:r>
                </w:p>
              </w:tc>
              <w:tc>
                <w:tcPr>
                  <w:tcW w:w="3290" w:type="dxa"/>
                  <w:noWrap w:val="0"/>
                  <w:vAlign w:val="center"/>
                </w:tcPr>
                <w:p w14:paraId="31A5BDAA">
                  <w:pPr>
                    <w:jc w:val="center"/>
                    <w:rPr>
                      <w:rFonts w:hint="eastAsia"/>
                      <w:szCs w:val="21"/>
                    </w:rPr>
                  </w:pPr>
                  <w:r>
                    <w:rPr>
                      <w:rFonts w:hint="eastAsia"/>
                      <w:szCs w:val="21"/>
                    </w:rPr>
                    <w:t>单位名称</w:t>
                  </w:r>
                </w:p>
              </w:tc>
              <w:tc>
                <w:tcPr>
                  <w:tcW w:w="2617" w:type="dxa"/>
                  <w:noWrap w:val="0"/>
                  <w:vAlign w:val="center"/>
                </w:tcPr>
                <w:p w14:paraId="02D26CE2">
                  <w:pPr>
                    <w:jc w:val="center"/>
                    <w:rPr>
                      <w:rFonts w:hint="eastAsia"/>
                      <w:szCs w:val="21"/>
                    </w:rPr>
                  </w:pPr>
                  <w:r>
                    <w:rPr>
                      <w:rFonts w:hint="eastAsia"/>
                      <w:szCs w:val="21"/>
                    </w:rPr>
                    <w:t>单位地址</w:t>
                  </w:r>
                </w:p>
              </w:tc>
              <w:tc>
                <w:tcPr>
                  <w:tcW w:w="1296" w:type="dxa"/>
                  <w:noWrap/>
                  <w:vAlign w:val="center"/>
                </w:tcPr>
                <w:p w14:paraId="31B8AF98">
                  <w:pPr>
                    <w:jc w:val="center"/>
                    <w:rPr>
                      <w:rFonts w:hint="eastAsia"/>
                      <w:szCs w:val="21"/>
                    </w:rPr>
                  </w:pPr>
                  <w:r>
                    <w:rPr>
                      <w:rFonts w:hint="eastAsia"/>
                      <w:szCs w:val="21"/>
                    </w:rPr>
                    <w:t>污水处理间数量</w:t>
                  </w:r>
                </w:p>
              </w:tc>
            </w:tr>
            <w:tr w14:paraId="4467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84" w:type="dxa"/>
                  <w:noWrap/>
                  <w:vAlign w:val="center"/>
                </w:tcPr>
                <w:p w14:paraId="3EEA3FA6">
                  <w:pPr>
                    <w:jc w:val="center"/>
                    <w:rPr>
                      <w:rFonts w:hint="eastAsia"/>
                      <w:szCs w:val="21"/>
                    </w:rPr>
                  </w:pPr>
                  <w:r>
                    <w:rPr>
                      <w:rFonts w:hint="eastAsia"/>
                      <w:szCs w:val="21"/>
                    </w:rPr>
                    <w:t>1</w:t>
                  </w:r>
                </w:p>
              </w:tc>
              <w:tc>
                <w:tcPr>
                  <w:tcW w:w="3290" w:type="dxa"/>
                  <w:noWrap w:val="0"/>
                  <w:vAlign w:val="center"/>
                </w:tcPr>
                <w:p w14:paraId="787A3C69">
                  <w:pPr>
                    <w:jc w:val="center"/>
                    <w:rPr>
                      <w:rFonts w:hint="eastAsia"/>
                      <w:szCs w:val="21"/>
                    </w:rPr>
                  </w:pPr>
                  <w:r>
                    <w:rPr>
                      <w:rFonts w:hint="eastAsia"/>
                      <w:szCs w:val="21"/>
                    </w:rPr>
                    <w:t>广州医科大学附属口腔医院（广州医科大学羊城医院）</w:t>
                  </w:r>
                </w:p>
              </w:tc>
              <w:tc>
                <w:tcPr>
                  <w:tcW w:w="2617" w:type="dxa"/>
                  <w:noWrap w:val="0"/>
                  <w:vAlign w:val="center"/>
                </w:tcPr>
                <w:p w14:paraId="2D472AA2">
                  <w:pPr>
                    <w:jc w:val="center"/>
                    <w:rPr>
                      <w:rFonts w:hint="eastAsia"/>
                      <w:szCs w:val="21"/>
                    </w:rPr>
                  </w:pPr>
                  <w:r>
                    <w:rPr>
                      <w:rFonts w:hint="eastAsia"/>
                      <w:szCs w:val="21"/>
                    </w:rPr>
                    <w:t>广州市荔湾区黄沙大道31、39、59号</w:t>
                  </w:r>
                </w:p>
              </w:tc>
              <w:tc>
                <w:tcPr>
                  <w:tcW w:w="1296" w:type="dxa"/>
                  <w:noWrap/>
                  <w:vAlign w:val="center"/>
                </w:tcPr>
                <w:p w14:paraId="3609CEDB">
                  <w:pPr>
                    <w:jc w:val="center"/>
                    <w:rPr>
                      <w:rFonts w:hint="eastAsia"/>
                      <w:szCs w:val="21"/>
                    </w:rPr>
                  </w:pPr>
                  <w:r>
                    <w:rPr>
                      <w:rFonts w:hint="eastAsia"/>
                      <w:szCs w:val="21"/>
                    </w:rPr>
                    <w:t>2</w:t>
                  </w:r>
                </w:p>
              </w:tc>
            </w:tr>
            <w:tr w14:paraId="278F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4" w:type="dxa"/>
                  <w:noWrap/>
                  <w:vAlign w:val="center"/>
                </w:tcPr>
                <w:p w14:paraId="34132077">
                  <w:pPr>
                    <w:jc w:val="center"/>
                    <w:rPr>
                      <w:rFonts w:hint="eastAsia"/>
                      <w:szCs w:val="21"/>
                    </w:rPr>
                  </w:pPr>
                  <w:r>
                    <w:rPr>
                      <w:rFonts w:hint="eastAsia"/>
                      <w:szCs w:val="21"/>
                    </w:rPr>
                    <w:t>2</w:t>
                  </w:r>
                </w:p>
              </w:tc>
              <w:tc>
                <w:tcPr>
                  <w:tcW w:w="3290" w:type="dxa"/>
                  <w:noWrap w:val="0"/>
                  <w:vAlign w:val="center"/>
                </w:tcPr>
                <w:p w14:paraId="78E4CF7F">
                  <w:pPr>
                    <w:jc w:val="center"/>
                    <w:rPr>
                      <w:rFonts w:hint="eastAsia"/>
                      <w:szCs w:val="21"/>
                    </w:rPr>
                  </w:pPr>
                  <w:r>
                    <w:rPr>
                      <w:rFonts w:hint="eastAsia"/>
                      <w:szCs w:val="21"/>
                    </w:rPr>
                    <w:t>广州医科大学附属口腔医院克山门诊部</w:t>
                  </w:r>
                </w:p>
              </w:tc>
              <w:tc>
                <w:tcPr>
                  <w:tcW w:w="2617" w:type="dxa"/>
                  <w:noWrap w:val="0"/>
                  <w:vAlign w:val="center"/>
                </w:tcPr>
                <w:p w14:paraId="6CA4536F">
                  <w:pPr>
                    <w:jc w:val="center"/>
                    <w:rPr>
                      <w:rFonts w:hint="eastAsia"/>
                      <w:szCs w:val="21"/>
                    </w:rPr>
                  </w:pPr>
                  <w:r>
                    <w:rPr>
                      <w:rFonts w:hint="eastAsia"/>
                      <w:szCs w:val="21"/>
                    </w:rPr>
                    <w:t>广州市荔湾区环市西路102号之一</w:t>
                  </w:r>
                </w:p>
              </w:tc>
              <w:tc>
                <w:tcPr>
                  <w:tcW w:w="1296" w:type="dxa"/>
                  <w:noWrap/>
                  <w:vAlign w:val="center"/>
                </w:tcPr>
                <w:p w14:paraId="6BAAB30E">
                  <w:pPr>
                    <w:jc w:val="center"/>
                    <w:rPr>
                      <w:rFonts w:hint="eastAsia"/>
                      <w:szCs w:val="21"/>
                    </w:rPr>
                  </w:pPr>
                  <w:r>
                    <w:rPr>
                      <w:rFonts w:hint="eastAsia"/>
                      <w:szCs w:val="21"/>
                    </w:rPr>
                    <w:t>1</w:t>
                  </w:r>
                </w:p>
              </w:tc>
            </w:tr>
            <w:tr w14:paraId="3D35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84" w:type="dxa"/>
                  <w:noWrap/>
                  <w:vAlign w:val="center"/>
                </w:tcPr>
                <w:p w14:paraId="3D232EE5">
                  <w:pPr>
                    <w:jc w:val="center"/>
                    <w:rPr>
                      <w:rFonts w:hint="eastAsia"/>
                      <w:szCs w:val="21"/>
                    </w:rPr>
                  </w:pPr>
                  <w:r>
                    <w:rPr>
                      <w:rFonts w:hint="eastAsia"/>
                      <w:szCs w:val="21"/>
                    </w:rPr>
                    <w:t>3</w:t>
                  </w:r>
                </w:p>
              </w:tc>
              <w:tc>
                <w:tcPr>
                  <w:tcW w:w="3290" w:type="dxa"/>
                  <w:noWrap w:val="0"/>
                  <w:vAlign w:val="center"/>
                </w:tcPr>
                <w:p w14:paraId="0B4924CE">
                  <w:pPr>
                    <w:jc w:val="center"/>
                    <w:rPr>
                      <w:rFonts w:hint="eastAsia" w:eastAsiaTheme="minorEastAsia"/>
                      <w:szCs w:val="21"/>
                      <w:lang w:eastAsia="zh-CN"/>
                    </w:rPr>
                  </w:pPr>
                  <w:r>
                    <w:rPr>
                      <w:rFonts w:hint="eastAsia"/>
                      <w:szCs w:val="21"/>
                    </w:rPr>
                    <w:t>广州医科大学附属口腔医院</w:t>
                  </w:r>
                  <w:r>
                    <w:rPr>
                      <w:rFonts w:hint="eastAsia"/>
                      <w:szCs w:val="21"/>
                      <w:lang w:eastAsia="zh-CN"/>
                    </w:rPr>
                    <w:t>客村门诊部</w:t>
                  </w:r>
                </w:p>
              </w:tc>
              <w:tc>
                <w:tcPr>
                  <w:tcW w:w="2617" w:type="dxa"/>
                  <w:noWrap w:val="0"/>
                  <w:vAlign w:val="center"/>
                </w:tcPr>
                <w:p w14:paraId="6BFFF795">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广州市海珠区艺苑路南丽苑 </w:t>
                  </w:r>
                  <w:r>
                    <w:rPr>
                      <w:rFonts w:ascii="Calibri" w:hAnsi="Calibri" w:eastAsia="宋体" w:cs="Calibri"/>
                      <w:color w:val="000000"/>
                      <w:kern w:val="0"/>
                      <w:sz w:val="20"/>
                      <w:szCs w:val="20"/>
                      <w:lang w:val="en-US" w:eastAsia="zh-CN" w:bidi="ar"/>
                    </w:rPr>
                    <w:t xml:space="preserve">47 </w:t>
                  </w:r>
                  <w:r>
                    <w:rPr>
                      <w:rFonts w:hint="eastAsia" w:ascii="宋体" w:hAnsi="宋体" w:eastAsia="宋体" w:cs="宋体"/>
                      <w:color w:val="000000"/>
                      <w:kern w:val="0"/>
                      <w:sz w:val="20"/>
                      <w:szCs w:val="20"/>
                      <w:lang w:val="en-US" w:eastAsia="zh-CN" w:bidi="ar"/>
                    </w:rPr>
                    <w:t>号</w:t>
                  </w:r>
                </w:p>
                <w:p w14:paraId="6EFE2803">
                  <w:pPr>
                    <w:jc w:val="center"/>
                    <w:rPr>
                      <w:rFonts w:hint="eastAsia"/>
                      <w:szCs w:val="21"/>
                    </w:rPr>
                  </w:pPr>
                </w:p>
              </w:tc>
              <w:tc>
                <w:tcPr>
                  <w:tcW w:w="1296" w:type="dxa"/>
                  <w:noWrap/>
                  <w:vAlign w:val="center"/>
                </w:tcPr>
                <w:p w14:paraId="7884E286">
                  <w:pPr>
                    <w:jc w:val="center"/>
                    <w:rPr>
                      <w:rFonts w:hint="eastAsia"/>
                      <w:szCs w:val="21"/>
                    </w:rPr>
                  </w:pPr>
                  <w:r>
                    <w:rPr>
                      <w:rFonts w:hint="eastAsia"/>
                      <w:szCs w:val="21"/>
                    </w:rPr>
                    <w:t>1</w:t>
                  </w:r>
                </w:p>
              </w:tc>
            </w:tr>
            <w:tr w14:paraId="5FBF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84" w:type="dxa"/>
                  <w:noWrap/>
                  <w:vAlign w:val="center"/>
                </w:tcPr>
                <w:p w14:paraId="31830895">
                  <w:pPr>
                    <w:jc w:val="center"/>
                    <w:rPr>
                      <w:rFonts w:hint="eastAsia" w:eastAsiaTheme="minorEastAsia"/>
                      <w:szCs w:val="21"/>
                      <w:lang w:eastAsia="zh-CN"/>
                    </w:rPr>
                  </w:pPr>
                  <w:r>
                    <w:rPr>
                      <w:rFonts w:hint="eastAsia"/>
                      <w:szCs w:val="21"/>
                      <w:lang w:val="en-US" w:eastAsia="zh-CN"/>
                    </w:rPr>
                    <w:t>4</w:t>
                  </w:r>
                </w:p>
              </w:tc>
              <w:tc>
                <w:tcPr>
                  <w:tcW w:w="3290" w:type="dxa"/>
                  <w:noWrap w:val="0"/>
                  <w:vAlign w:val="center"/>
                </w:tcPr>
                <w:p w14:paraId="00E14B3D">
                  <w:pPr>
                    <w:jc w:val="center"/>
                    <w:rPr>
                      <w:rFonts w:hint="eastAsia"/>
                      <w:szCs w:val="21"/>
                    </w:rPr>
                  </w:pPr>
                  <w:r>
                    <w:rPr>
                      <w:rFonts w:hint="eastAsia"/>
                      <w:szCs w:val="21"/>
                    </w:rPr>
                    <w:t>广州医科大学附属口腔医院东风西门诊部</w:t>
                  </w:r>
                </w:p>
              </w:tc>
              <w:tc>
                <w:tcPr>
                  <w:tcW w:w="2617" w:type="dxa"/>
                  <w:noWrap w:val="0"/>
                  <w:vAlign w:val="center"/>
                </w:tcPr>
                <w:p w14:paraId="7B2925A7">
                  <w:pPr>
                    <w:jc w:val="center"/>
                    <w:rPr>
                      <w:rFonts w:hint="eastAsia"/>
                      <w:szCs w:val="21"/>
                    </w:rPr>
                  </w:pPr>
                  <w:r>
                    <w:rPr>
                      <w:rFonts w:hint="eastAsia"/>
                      <w:szCs w:val="21"/>
                    </w:rPr>
                    <w:t>广州市越秀区东风西路195号</w:t>
                  </w:r>
                </w:p>
              </w:tc>
              <w:tc>
                <w:tcPr>
                  <w:tcW w:w="1296" w:type="dxa"/>
                  <w:noWrap/>
                  <w:vAlign w:val="center"/>
                </w:tcPr>
                <w:p w14:paraId="443997A8">
                  <w:pPr>
                    <w:jc w:val="center"/>
                    <w:rPr>
                      <w:rFonts w:hint="eastAsia"/>
                      <w:szCs w:val="21"/>
                    </w:rPr>
                  </w:pPr>
                  <w:r>
                    <w:rPr>
                      <w:rFonts w:hint="eastAsia"/>
                      <w:szCs w:val="21"/>
                    </w:rPr>
                    <w:t>2</w:t>
                  </w:r>
                </w:p>
              </w:tc>
            </w:tr>
          </w:tbl>
          <w:p w14:paraId="06663735">
            <w:pPr>
              <w:spacing w:line="520" w:lineRule="exact"/>
              <w:rPr>
                <w:rFonts w:hint="eastAsia"/>
                <w:b/>
                <w:sz w:val="28"/>
                <w:szCs w:val="28"/>
              </w:rPr>
            </w:pPr>
            <w:r>
              <w:rPr>
                <w:rFonts w:hint="eastAsia"/>
                <w:b/>
                <w:sz w:val="28"/>
                <w:szCs w:val="28"/>
              </w:rPr>
              <w:t>二、排放标准</w:t>
            </w:r>
          </w:p>
          <w:p w14:paraId="203A80D1">
            <w:pPr>
              <w:spacing w:line="520" w:lineRule="exact"/>
              <w:ind w:firstLine="448" w:firstLineChars="187"/>
              <w:rPr>
                <w:rFonts w:hint="eastAsia"/>
                <w:sz w:val="24"/>
              </w:rPr>
            </w:pPr>
            <w:r>
              <w:rPr>
                <w:rFonts w:hint="eastAsia"/>
                <w:sz w:val="24"/>
              </w:rPr>
              <w:t>处理后污水水质达到《医疗机构水污染物排放标准》（</w:t>
            </w:r>
            <w:r>
              <w:rPr>
                <w:sz w:val="24"/>
              </w:rPr>
              <w:t>GB18466-2005</w:t>
            </w:r>
            <w:r>
              <w:rPr>
                <w:rFonts w:hint="eastAsia"/>
                <w:sz w:val="24"/>
              </w:rPr>
              <w:t>）预处理标准，主要污染物浓度及监测要求如下表。</w:t>
            </w:r>
          </w:p>
          <w:p w14:paraId="61426142">
            <w:pPr>
              <w:spacing w:line="520" w:lineRule="exact"/>
              <w:jc w:val="both"/>
              <w:rPr>
                <w:rFonts w:hint="eastAsia"/>
                <w:szCs w:val="21"/>
              </w:rPr>
            </w:pPr>
            <w:r>
              <w:rPr>
                <w:rFonts w:hint="eastAsia"/>
                <w:szCs w:val="21"/>
              </w:rPr>
              <w:t>表二  各污水站污水处理出水主要指标排放限值（日均值）</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41"/>
              <w:gridCol w:w="849"/>
              <w:gridCol w:w="901"/>
              <w:gridCol w:w="762"/>
              <w:gridCol w:w="588"/>
              <w:gridCol w:w="1165"/>
              <w:gridCol w:w="1128"/>
              <w:gridCol w:w="994"/>
            </w:tblGrid>
            <w:tr w14:paraId="1EC8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1" w:type="dxa"/>
                  <w:vMerge w:val="restart"/>
                  <w:noWrap w:val="0"/>
                  <w:vAlign w:val="center"/>
                </w:tcPr>
                <w:p w14:paraId="7BE1260E">
                  <w:pPr>
                    <w:ind w:firstLine="2"/>
                    <w:jc w:val="center"/>
                    <w:rPr>
                      <w:szCs w:val="21"/>
                    </w:rPr>
                  </w:pPr>
                  <w:r>
                    <w:rPr>
                      <w:szCs w:val="21"/>
                    </w:rPr>
                    <w:t>项目</w:t>
                  </w:r>
                </w:p>
              </w:tc>
              <w:tc>
                <w:tcPr>
                  <w:tcW w:w="930" w:type="dxa"/>
                  <w:vMerge w:val="restart"/>
                  <w:noWrap w:val="0"/>
                  <w:vAlign w:val="center"/>
                </w:tcPr>
                <w:p w14:paraId="31CECD5A">
                  <w:pPr>
                    <w:jc w:val="center"/>
                    <w:rPr>
                      <w:szCs w:val="21"/>
                    </w:rPr>
                  </w:pPr>
                  <w:r>
                    <w:rPr>
                      <w:szCs w:val="21"/>
                    </w:rPr>
                    <w:t>PH</w:t>
                  </w:r>
                </w:p>
              </w:tc>
              <w:tc>
                <w:tcPr>
                  <w:tcW w:w="939" w:type="dxa"/>
                  <w:vMerge w:val="restart"/>
                  <w:noWrap w:val="0"/>
                  <w:vAlign w:val="center"/>
                </w:tcPr>
                <w:p w14:paraId="6C9C8140">
                  <w:pPr>
                    <w:jc w:val="center"/>
                    <w:rPr>
                      <w:szCs w:val="21"/>
                    </w:rPr>
                  </w:pPr>
                  <w:r>
                    <w:rPr>
                      <w:szCs w:val="21"/>
                    </w:rPr>
                    <w:t>总余氯</w:t>
                  </w:r>
                </w:p>
                <w:p w14:paraId="6A143F44">
                  <w:pPr>
                    <w:jc w:val="center"/>
                    <w:rPr>
                      <w:szCs w:val="21"/>
                    </w:rPr>
                  </w:pPr>
                  <w:r>
                    <w:rPr>
                      <w:szCs w:val="21"/>
                    </w:rPr>
                    <w:t>mg/l</w:t>
                  </w:r>
                </w:p>
              </w:tc>
              <w:tc>
                <w:tcPr>
                  <w:tcW w:w="999" w:type="dxa"/>
                  <w:vMerge w:val="restart"/>
                  <w:noWrap w:val="0"/>
                  <w:vAlign w:val="center"/>
                </w:tcPr>
                <w:p w14:paraId="441D307E">
                  <w:pPr>
                    <w:jc w:val="center"/>
                    <w:rPr>
                      <w:szCs w:val="21"/>
                    </w:rPr>
                  </w:pPr>
                  <w:r>
                    <w:rPr>
                      <w:szCs w:val="21"/>
                    </w:rPr>
                    <w:t>CODcr</w:t>
                  </w:r>
                </w:p>
                <w:p w14:paraId="7CFEA594">
                  <w:pPr>
                    <w:jc w:val="center"/>
                    <w:rPr>
                      <w:szCs w:val="21"/>
                    </w:rPr>
                  </w:pPr>
                  <w:r>
                    <w:rPr>
                      <w:szCs w:val="21"/>
                    </w:rPr>
                    <w:t>mg/l</w:t>
                  </w:r>
                </w:p>
              </w:tc>
              <w:tc>
                <w:tcPr>
                  <w:tcW w:w="839" w:type="dxa"/>
                  <w:vMerge w:val="restart"/>
                  <w:noWrap w:val="0"/>
                  <w:vAlign w:val="center"/>
                </w:tcPr>
                <w:p w14:paraId="508F89A5">
                  <w:pPr>
                    <w:autoSpaceDE w:val="0"/>
                    <w:jc w:val="center"/>
                    <w:rPr>
                      <w:szCs w:val="21"/>
                    </w:rPr>
                  </w:pPr>
                  <w:r>
                    <w:rPr>
                      <w:szCs w:val="21"/>
                    </w:rPr>
                    <w:t>BOD</w:t>
                  </w:r>
                  <w:r>
                    <w:rPr>
                      <w:szCs w:val="21"/>
                      <w:vertAlign w:val="subscript"/>
                    </w:rPr>
                    <w:t>5</w:t>
                  </w:r>
                </w:p>
                <w:p w14:paraId="224C68FA">
                  <w:pPr>
                    <w:jc w:val="center"/>
                    <w:rPr>
                      <w:szCs w:val="21"/>
                    </w:rPr>
                  </w:pPr>
                  <w:r>
                    <w:rPr>
                      <w:szCs w:val="21"/>
                    </w:rPr>
                    <w:t>mg/l</w:t>
                  </w:r>
                </w:p>
              </w:tc>
              <w:tc>
                <w:tcPr>
                  <w:tcW w:w="640" w:type="dxa"/>
                  <w:vMerge w:val="restart"/>
                  <w:noWrap w:val="0"/>
                  <w:vAlign w:val="center"/>
                </w:tcPr>
                <w:p w14:paraId="1CB5D3B5">
                  <w:pPr>
                    <w:jc w:val="center"/>
                    <w:rPr>
                      <w:szCs w:val="21"/>
                    </w:rPr>
                  </w:pPr>
                  <w:r>
                    <w:rPr>
                      <w:szCs w:val="21"/>
                    </w:rPr>
                    <w:t>SS</w:t>
                  </w:r>
                </w:p>
                <w:p w14:paraId="5DD4D57B">
                  <w:pPr>
                    <w:ind w:firstLine="2"/>
                    <w:jc w:val="center"/>
                    <w:rPr>
                      <w:szCs w:val="21"/>
                    </w:rPr>
                  </w:pPr>
                  <w:r>
                    <w:rPr>
                      <w:szCs w:val="21"/>
                    </w:rPr>
                    <w:t>mg/l</w:t>
                  </w:r>
                </w:p>
              </w:tc>
              <w:tc>
                <w:tcPr>
                  <w:tcW w:w="3666" w:type="dxa"/>
                  <w:gridSpan w:val="3"/>
                  <w:noWrap w:val="0"/>
                  <w:vAlign w:val="center"/>
                </w:tcPr>
                <w:p w14:paraId="75A87D61">
                  <w:pPr>
                    <w:ind w:firstLine="2"/>
                    <w:jc w:val="center"/>
                    <w:rPr>
                      <w:szCs w:val="21"/>
                    </w:rPr>
                  </w:pPr>
                  <w:r>
                    <w:rPr>
                      <w:szCs w:val="21"/>
                    </w:rPr>
                    <w:t>致 病 菌</w:t>
                  </w:r>
                </w:p>
              </w:tc>
            </w:tr>
            <w:tr w14:paraId="42E0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21" w:type="dxa"/>
                  <w:vMerge w:val="continue"/>
                  <w:noWrap w:val="0"/>
                  <w:vAlign w:val="center"/>
                </w:tcPr>
                <w:p w14:paraId="7D2146FF">
                  <w:pPr>
                    <w:ind w:firstLine="2"/>
                    <w:jc w:val="center"/>
                    <w:rPr>
                      <w:szCs w:val="21"/>
                    </w:rPr>
                  </w:pPr>
                </w:p>
              </w:tc>
              <w:tc>
                <w:tcPr>
                  <w:tcW w:w="930" w:type="dxa"/>
                  <w:vMerge w:val="continue"/>
                  <w:noWrap w:val="0"/>
                  <w:vAlign w:val="center"/>
                </w:tcPr>
                <w:p w14:paraId="06C3023D">
                  <w:pPr>
                    <w:ind w:firstLine="2"/>
                    <w:jc w:val="center"/>
                    <w:rPr>
                      <w:szCs w:val="21"/>
                    </w:rPr>
                  </w:pPr>
                </w:p>
              </w:tc>
              <w:tc>
                <w:tcPr>
                  <w:tcW w:w="939" w:type="dxa"/>
                  <w:vMerge w:val="continue"/>
                  <w:noWrap w:val="0"/>
                  <w:vAlign w:val="center"/>
                </w:tcPr>
                <w:p w14:paraId="7144E4FE">
                  <w:pPr>
                    <w:ind w:firstLine="2"/>
                    <w:jc w:val="center"/>
                    <w:rPr>
                      <w:szCs w:val="21"/>
                    </w:rPr>
                  </w:pPr>
                </w:p>
              </w:tc>
              <w:tc>
                <w:tcPr>
                  <w:tcW w:w="999" w:type="dxa"/>
                  <w:vMerge w:val="continue"/>
                  <w:noWrap w:val="0"/>
                  <w:vAlign w:val="center"/>
                </w:tcPr>
                <w:p w14:paraId="70985C3E">
                  <w:pPr>
                    <w:ind w:firstLine="2"/>
                    <w:jc w:val="center"/>
                    <w:rPr>
                      <w:szCs w:val="21"/>
                    </w:rPr>
                  </w:pPr>
                </w:p>
              </w:tc>
              <w:tc>
                <w:tcPr>
                  <w:tcW w:w="839" w:type="dxa"/>
                  <w:vMerge w:val="continue"/>
                  <w:noWrap w:val="0"/>
                  <w:vAlign w:val="center"/>
                </w:tcPr>
                <w:p w14:paraId="7AECB7BB">
                  <w:pPr>
                    <w:widowControl/>
                    <w:jc w:val="left"/>
                    <w:rPr>
                      <w:szCs w:val="21"/>
                    </w:rPr>
                  </w:pPr>
                </w:p>
              </w:tc>
              <w:tc>
                <w:tcPr>
                  <w:tcW w:w="640" w:type="dxa"/>
                  <w:vMerge w:val="continue"/>
                  <w:noWrap w:val="0"/>
                  <w:vAlign w:val="center"/>
                </w:tcPr>
                <w:p w14:paraId="281D772B">
                  <w:pPr>
                    <w:ind w:firstLine="2"/>
                    <w:jc w:val="center"/>
                    <w:rPr>
                      <w:szCs w:val="21"/>
                    </w:rPr>
                  </w:pPr>
                </w:p>
              </w:tc>
              <w:tc>
                <w:tcPr>
                  <w:tcW w:w="1302" w:type="dxa"/>
                  <w:noWrap w:val="0"/>
                  <w:vAlign w:val="center"/>
                </w:tcPr>
                <w:p w14:paraId="46DE7961">
                  <w:pPr>
                    <w:ind w:firstLine="2"/>
                    <w:jc w:val="center"/>
                    <w:rPr>
                      <w:szCs w:val="21"/>
                    </w:rPr>
                  </w:pPr>
                  <w:r>
                    <w:rPr>
                      <w:szCs w:val="21"/>
                    </w:rPr>
                    <w:t>粪大肠菌群数（MPN/L）</w:t>
                  </w:r>
                </w:p>
              </w:tc>
              <w:tc>
                <w:tcPr>
                  <w:tcW w:w="1259" w:type="dxa"/>
                  <w:noWrap w:val="0"/>
                  <w:vAlign w:val="center"/>
                </w:tcPr>
                <w:p w14:paraId="2348D575">
                  <w:pPr>
                    <w:jc w:val="center"/>
                    <w:rPr>
                      <w:szCs w:val="21"/>
                    </w:rPr>
                  </w:pPr>
                  <w:r>
                    <w:rPr>
                      <w:szCs w:val="21"/>
                    </w:rPr>
                    <w:t>沙门氏菌</w:t>
                  </w:r>
                </w:p>
              </w:tc>
              <w:tc>
                <w:tcPr>
                  <w:tcW w:w="1105" w:type="dxa"/>
                  <w:noWrap w:val="0"/>
                  <w:vAlign w:val="center"/>
                </w:tcPr>
                <w:p w14:paraId="09675D4B">
                  <w:pPr>
                    <w:ind w:firstLine="2"/>
                    <w:jc w:val="center"/>
                    <w:rPr>
                      <w:szCs w:val="21"/>
                    </w:rPr>
                  </w:pPr>
                  <w:r>
                    <w:rPr>
                      <w:szCs w:val="21"/>
                    </w:rPr>
                    <w:t>志贺氏菌</w:t>
                  </w:r>
                </w:p>
              </w:tc>
            </w:tr>
            <w:tr w14:paraId="265A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21" w:type="dxa"/>
                  <w:noWrap w:val="0"/>
                  <w:vAlign w:val="center"/>
                </w:tcPr>
                <w:p w14:paraId="1A9AE33A">
                  <w:pPr>
                    <w:ind w:firstLine="2"/>
                    <w:jc w:val="center"/>
                    <w:rPr>
                      <w:szCs w:val="21"/>
                    </w:rPr>
                  </w:pPr>
                  <w:r>
                    <w:rPr>
                      <w:szCs w:val="21"/>
                    </w:rPr>
                    <w:t>现行标准</w:t>
                  </w:r>
                </w:p>
              </w:tc>
              <w:tc>
                <w:tcPr>
                  <w:tcW w:w="930" w:type="dxa"/>
                  <w:noWrap w:val="0"/>
                  <w:vAlign w:val="center"/>
                </w:tcPr>
                <w:p w14:paraId="6EDC3085">
                  <w:pPr>
                    <w:jc w:val="center"/>
                    <w:rPr>
                      <w:szCs w:val="21"/>
                    </w:rPr>
                  </w:pPr>
                  <w:r>
                    <w:rPr>
                      <w:szCs w:val="21"/>
                    </w:rPr>
                    <w:t>6-9</w:t>
                  </w:r>
                </w:p>
              </w:tc>
              <w:tc>
                <w:tcPr>
                  <w:tcW w:w="939" w:type="dxa"/>
                  <w:noWrap w:val="0"/>
                  <w:vAlign w:val="center"/>
                </w:tcPr>
                <w:p w14:paraId="0F8174F4">
                  <w:pPr>
                    <w:jc w:val="center"/>
                    <w:rPr>
                      <w:szCs w:val="21"/>
                    </w:rPr>
                  </w:pPr>
                  <w:r>
                    <w:rPr>
                      <w:szCs w:val="21"/>
                    </w:rPr>
                    <w:t>2－8</w:t>
                  </w:r>
                </w:p>
              </w:tc>
              <w:tc>
                <w:tcPr>
                  <w:tcW w:w="999" w:type="dxa"/>
                  <w:noWrap w:val="0"/>
                  <w:vAlign w:val="center"/>
                </w:tcPr>
                <w:p w14:paraId="142BC10A">
                  <w:pPr>
                    <w:jc w:val="center"/>
                    <w:rPr>
                      <w:szCs w:val="21"/>
                    </w:rPr>
                  </w:pPr>
                  <w:r>
                    <w:rPr>
                      <w:szCs w:val="21"/>
                    </w:rPr>
                    <w:t>250</w:t>
                  </w:r>
                </w:p>
              </w:tc>
              <w:tc>
                <w:tcPr>
                  <w:tcW w:w="839" w:type="dxa"/>
                  <w:noWrap w:val="0"/>
                  <w:vAlign w:val="center"/>
                </w:tcPr>
                <w:p w14:paraId="7EA0B423">
                  <w:pPr>
                    <w:jc w:val="center"/>
                    <w:rPr>
                      <w:szCs w:val="21"/>
                    </w:rPr>
                  </w:pPr>
                  <w:r>
                    <w:rPr>
                      <w:szCs w:val="21"/>
                    </w:rPr>
                    <w:t>100</w:t>
                  </w:r>
                </w:p>
              </w:tc>
              <w:tc>
                <w:tcPr>
                  <w:tcW w:w="640" w:type="dxa"/>
                  <w:noWrap w:val="0"/>
                  <w:vAlign w:val="center"/>
                </w:tcPr>
                <w:p w14:paraId="3EF8E180">
                  <w:pPr>
                    <w:ind w:firstLine="2"/>
                    <w:jc w:val="center"/>
                    <w:rPr>
                      <w:szCs w:val="21"/>
                    </w:rPr>
                  </w:pPr>
                  <w:r>
                    <w:rPr>
                      <w:szCs w:val="21"/>
                    </w:rPr>
                    <w:t>60</w:t>
                  </w:r>
                </w:p>
              </w:tc>
              <w:tc>
                <w:tcPr>
                  <w:tcW w:w="1302" w:type="dxa"/>
                  <w:noWrap w:val="0"/>
                  <w:vAlign w:val="center"/>
                </w:tcPr>
                <w:p w14:paraId="7E197C57">
                  <w:pPr>
                    <w:ind w:firstLine="2"/>
                    <w:jc w:val="center"/>
                    <w:rPr>
                      <w:szCs w:val="21"/>
                    </w:rPr>
                  </w:pPr>
                  <w:r>
                    <w:rPr>
                      <w:szCs w:val="21"/>
                    </w:rPr>
                    <w:t>5000</w:t>
                  </w:r>
                </w:p>
              </w:tc>
              <w:tc>
                <w:tcPr>
                  <w:tcW w:w="1259" w:type="dxa"/>
                  <w:noWrap w:val="0"/>
                  <w:vAlign w:val="center"/>
                </w:tcPr>
                <w:p w14:paraId="75E9AFAD">
                  <w:pPr>
                    <w:jc w:val="center"/>
                    <w:rPr>
                      <w:szCs w:val="21"/>
                    </w:rPr>
                  </w:pPr>
                  <w:r>
                    <w:rPr>
                      <w:szCs w:val="21"/>
                    </w:rPr>
                    <w:t>不得检出</w:t>
                  </w:r>
                </w:p>
              </w:tc>
              <w:tc>
                <w:tcPr>
                  <w:tcW w:w="1105" w:type="dxa"/>
                  <w:noWrap w:val="0"/>
                  <w:vAlign w:val="center"/>
                </w:tcPr>
                <w:p w14:paraId="60386CAB">
                  <w:pPr>
                    <w:ind w:firstLine="2"/>
                    <w:jc w:val="center"/>
                    <w:rPr>
                      <w:szCs w:val="21"/>
                    </w:rPr>
                  </w:pPr>
                  <w:r>
                    <w:rPr>
                      <w:szCs w:val="21"/>
                    </w:rPr>
                    <w:t>不得检出</w:t>
                  </w:r>
                </w:p>
              </w:tc>
            </w:tr>
            <w:tr w14:paraId="541E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21" w:type="dxa"/>
                  <w:noWrap w:val="0"/>
                  <w:vAlign w:val="center"/>
                </w:tcPr>
                <w:p w14:paraId="6FB4773C">
                  <w:pPr>
                    <w:ind w:firstLine="2"/>
                    <w:jc w:val="center"/>
                    <w:rPr>
                      <w:szCs w:val="21"/>
                    </w:rPr>
                  </w:pPr>
                  <w:r>
                    <w:rPr>
                      <w:szCs w:val="21"/>
                    </w:rPr>
                    <w:t>监测频率</w:t>
                  </w:r>
                </w:p>
              </w:tc>
              <w:tc>
                <w:tcPr>
                  <w:tcW w:w="930" w:type="dxa"/>
                  <w:noWrap w:val="0"/>
                  <w:vAlign w:val="center"/>
                </w:tcPr>
                <w:p w14:paraId="482471E3">
                  <w:pPr>
                    <w:jc w:val="center"/>
                    <w:rPr>
                      <w:szCs w:val="21"/>
                    </w:rPr>
                  </w:pPr>
                  <w:r>
                    <w:rPr>
                      <w:szCs w:val="21"/>
                    </w:rPr>
                    <w:t>每日两次</w:t>
                  </w:r>
                </w:p>
              </w:tc>
              <w:tc>
                <w:tcPr>
                  <w:tcW w:w="939" w:type="dxa"/>
                  <w:noWrap w:val="0"/>
                  <w:vAlign w:val="center"/>
                </w:tcPr>
                <w:p w14:paraId="5004C05F">
                  <w:pPr>
                    <w:jc w:val="center"/>
                    <w:rPr>
                      <w:szCs w:val="21"/>
                    </w:rPr>
                  </w:pPr>
                  <w:r>
                    <w:rPr>
                      <w:szCs w:val="21"/>
                    </w:rPr>
                    <w:t>每日两次</w:t>
                  </w:r>
                </w:p>
              </w:tc>
              <w:tc>
                <w:tcPr>
                  <w:tcW w:w="999" w:type="dxa"/>
                  <w:noWrap w:val="0"/>
                  <w:vAlign w:val="center"/>
                </w:tcPr>
                <w:p w14:paraId="73CF1333">
                  <w:pPr>
                    <w:jc w:val="center"/>
                    <w:rPr>
                      <w:szCs w:val="21"/>
                    </w:rPr>
                  </w:pPr>
                  <w:r>
                    <w:rPr>
                      <w:szCs w:val="21"/>
                    </w:rPr>
                    <w:t>每周一次</w:t>
                  </w:r>
                </w:p>
              </w:tc>
              <w:tc>
                <w:tcPr>
                  <w:tcW w:w="839" w:type="dxa"/>
                  <w:noWrap w:val="0"/>
                  <w:vAlign w:val="center"/>
                </w:tcPr>
                <w:p w14:paraId="3F7A3079">
                  <w:pPr>
                    <w:jc w:val="center"/>
                    <w:rPr>
                      <w:szCs w:val="21"/>
                    </w:rPr>
                  </w:pPr>
                  <w:r>
                    <w:rPr>
                      <w:szCs w:val="21"/>
                    </w:rPr>
                    <w:t>每周一次</w:t>
                  </w:r>
                </w:p>
              </w:tc>
              <w:tc>
                <w:tcPr>
                  <w:tcW w:w="640" w:type="dxa"/>
                  <w:noWrap w:val="0"/>
                  <w:vAlign w:val="center"/>
                </w:tcPr>
                <w:p w14:paraId="4991970E">
                  <w:pPr>
                    <w:ind w:firstLine="2"/>
                    <w:jc w:val="center"/>
                    <w:rPr>
                      <w:szCs w:val="21"/>
                    </w:rPr>
                  </w:pPr>
                  <w:r>
                    <w:rPr>
                      <w:szCs w:val="21"/>
                    </w:rPr>
                    <w:t>每周一次</w:t>
                  </w:r>
                </w:p>
              </w:tc>
              <w:tc>
                <w:tcPr>
                  <w:tcW w:w="1302" w:type="dxa"/>
                  <w:noWrap w:val="0"/>
                  <w:vAlign w:val="center"/>
                </w:tcPr>
                <w:p w14:paraId="1245A89D">
                  <w:pPr>
                    <w:ind w:firstLine="2"/>
                    <w:jc w:val="center"/>
                    <w:rPr>
                      <w:szCs w:val="21"/>
                    </w:rPr>
                  </w:pPr>
                  <w:r>
                    <w:rPr>
                      <w:szCs w:val="21"/>
                    </w:rPr>
                    <w:t>每月不少于一次</w:t>
                  </w:r>
                </w:p>
              </w:tc>
              <w:tc>
                <w:tcPr>
                  <w:tcW w:w="1259" w:type="dxa"/>
                  <w:noWrap w:val="0"/>
                  <w:vAlign w:val="center"/>
                </w:tcPr>
                <w:p w14:paraId="41D297DE">
                  <w:pPr>
                    <w:jc w:val="center"/>
                    <w:rPr>
                      <w:szCs w:val="21"/>
                    </w:rPr>
                  </w:pPr>
                  <w:r>
                    <w:rPr>
                      <w:szCs w:val="21"/>
                    </w:rPr>
                    <w:t>每季度不少于一次</w:t>
                  </w:r>
                </w:p>
              </w:tc>
              <w:tc>
                <w:tcPr>
                  <w:tcW w:w="1105" w:type="dxa"/>
                  <w:noWrap w:val="0"/>
                  <w:vAlign w:val="center"/>
                </w:tcPr>
                <w:p w14:paraId="33D2A0EB">
                  <w:pPr>
                    <w:ind w:firstLine="2"/>
                    <w:jc w:val="center"/>
                    <w:rPr>
                      <w:szCs w:val="21"/>
                    </w:rPr>
                  </w:pPr>
                  <w:r>
                    <w:rPr>
                      <w:szCs w:val="21"/>
                    </w:rPr>
                    <w:t>每半年不少于一次</w:t>
                  </w:r>
                </w:p>
              </w:tc>
            </w:tr>
          </w:tbl>
          <w:p w14:paraId="3C632968">
            <w:r>
              <w:rPr>
                <w:b/>
                <w:color w:val="000000"/>
                <w:sz w:val="24"/>
              </w:rPr>
              <w:t>二、运营服务内容及要求：</w:t>
            </w:r>
          </w:p>
          <w:p w14:paraId="25F2838C">
            <w:pPr>
              <w:spacing w:line="500" w:lineRule="exact"/>
              <w:ind w:firstLine="448" w:firstLineChars="187"/>
              <w:rPr>
                <w:rFonts w:hint="eastAsia"/>
                <w:sz w:val="24"/>
              </w:rPr>
            </w:pPr>
            <w:r>
              <w:rPr>
                <w:rFonts w:hint="eastAsia"/>
                <w:sz w:val="24"/>
              </w:rPr>
              <w:t>1、</w:t>
            </w:r>
            <w:r>
              <w:rPr>
                <w:rFonts w:hint="eastAsia"/>
                <w:color w:val="000000"/>
                <w:sz w:val="24"/>
                <w:lang w:eastAsia="zh-CN"/>
              </w:rPr>
              <w:t>供应商</w:t>
            </w:r>
            <w:r>
              <w:rPr>
                <w:rFonts w:hint="eastAsia"/>
                <w:sz w:val="24"/>
                <w:lang w:eastAsia="zh-CN"/>
              </w:rPr>
              <w:t>必须</w:t>
            </w:r>
            <w:r>
              <w:rPr>
                <w:rFonts w:hint="eastAsia"/>
                <w:sz w:val="24"/>
              </w:rPr>
              <w:t xml:space="preserve">委派专门的操作人员（持证上岗）负责污水处理设施的日常操作、维护和管理，确保操作人员的安全防护符合规定。建立管理规章制度，严格按要求和操作规程进行设备的运行管理，确保污水处理设备正常运行，达到良好的处理效果。 </w:t>
            </w:r>
          </w:p>
          <w:p w14:paraId="285B4695">
            <w:pPr>
              <w:spacing w:line="500" w:lineRule="exact"/>
              <w:ind w:firstLine="448" w:firstLineChars="187"/>
              <w:rPr>
                <w:rFonts w:hint="eastAsia"/>
                <w:sz w:val="24"/>
              </w:rPr>
            </w:pPr>
            <w:r>
              <w:rPr>
                <w:rFonts w:hint="eastAsia"/>
                <w:sz w:val="24"/>
              </w:rPr>
              <w:t>2、负责对运营员工的培训，使员工熟悉操作流程，工艺流程。特别是新招的员工，必须培训到位，熟练操作污水站的设备，熟悉水质的检测方法，污染物的检测指标，水质排放标准，药剂的投加量等才能上岗。</w:t>
            </w:r>
          </w:p>
          <w:p w14:paraId="763C2902">
            <w:pPr>
              <w:spacing w:line="500" w:lineRule="exact"/>
              <w:ind w:firstLine="448" w:firstLineChars="187"/>
              <w:rPr>
                <w:rFonts w:hint="eastAsia"/>
                <w:sz w:val="24"/>
              </w:rPr>
            </w:pPr>
            <w:r>
              <w:rPr>
                <w:rFonts w:hint="eastAsia"/>
                <w:sz w:val="24"/>
              </w:rPr>
              <w:t>3、每天对所有设备（包括水泵风机等等）巡回检查二次，及时保养和维护，确保设备性能良好和正常运行，减少噪音排放，确保不产生二次污染。并且每次须做好保养维护记录，每月整理后移交</w:t>
            </w:r>
            <w:r>
              <w:rPr>
                <w:rFonts w:hint="eastAsia"/>
                <w:sz w:val="24"/>
                <w:lang w:eastAsia="zh-CN"/>
              </w:rPr>
              <w:t>采购人</w:t>
            </w:r>
            <w:r>
              <w:rPr>
                <w:rFonts w:hint="eastAsia"/>
                <w:sz w:val="24"/>
              </w:rPr>
              <w:t>。</w:t>
            </w:r>
          </w:p>
          <w:p w14:paraId="62E2347A">
            <w:pPr>
              <w:spacing w:line="500" w:lineRule="exact"/>
              <w:ind w:firstLine="448" w:firstLineChars="187"/>
              <w:rPr>
                <w:rFonts w:hint="eastAsia"/>
                <w:sz w:val="24"/>
              </w:rPr>
            </w:pPr>
            <w:r>
              <w:rPr>
                <w:rFonts w:hint="eastAsia"/>
                <w:sz w:val="24"/>
              </w:rPr>
              <w:t>4、根据水质情况和工艺要求，及时调整污水站的操作参数，控制流量，准确投加药剂，保证污水处理后达标排放。</w:t>
            </w:r>
          </w:p>
          <w:p w14:paraId="2EC9A8E0">
            <w:pPr>
              <w:spacing w:line="500" w:lineRule="exact"/>
              <w:ind w:firstLine="448" w:firstLineChars="187"/>
              <w:rPr>
                <w:rFonts w:hint="eastAsia"/>
                <w:sz w:val="24"/>
              </w:rPr>
            </w:pPr>
            <w:r>
              <w:rPr>
                <w:rFonts w:hint="eastAsia"/>
                <w:sz w:val="24"/>
              </w:rPr>
              <w:t>5、污水采样检测按上述表二监测频率要求进行，每天两次现场取样测定出水pH值、出水总余氯，并做好记录。每月四次送水样回</w:t>
            </w:r>
            <w:r>
              <w:rPr>
                <w:rFonts w:hint="eastAsia"/>
                <w:color w:val="000000"/>
                <w:sz w:val="24"/>
                <w:lang w:eastAsia="zh-CN"/>
              </w:rPr>
              <w:t>供应商</w:t>
            </w:r>
            <w:r>
              <w:rPr>
                <w:rFonts w:hint="eastAsia"/>
                <w:sz w:val="24"/>
              </w:rPr>
              <w:t>化验室进行水质分析并提供检测报告给</w:t>
            </w:r>
            <w:r>
              <w:rPr>
                <w:rFonts w:hint="eastAsia"/>
                <w:color w:val="000000"/>
                <w:sz w:val="24"/>
                <w:lang w:eastAsia="zh-CN"/>
              </w:rPr>
              <w:t>采购人</w:t>
            </w:r>
            <w:r>
              <w:rPr>
                <w:rFonts w:hint="eastAsia"/>
                <w:sz w:val="24"/>
              </w:rPr>
              <w:t>，及时掌握水质和污水排放状况，如有异常情况，可随机抽样分析。</w:t>
            </w:r>
            <w:r>
              <w:rPr>
                <w:rFonts w:hint="eastAsia"/>
                <w:color w:val="000000"/>
                <w:sz w:val="24"/>
                <w:lang w:eastAsia="zh-CN"/>
              </w:rPr>
              <w:t>供应商</w:t>
            </w:r>
            <w:r>
              <w:rPr>
                <w:rFonts w:hint="eastAsia"/>
                <w:sz w:val="24"/>
              </w:rPr>
              <w:t>化验室负责每月四次分析项目：CODcr、BOD</w:t>
            </w:r>
            <w:r>
              <w:rPr>
                <w:rFonts w:hint="eastAsia"/>
                <w:sz w:val="24"/>
                <w:vertAlign w:val="subscript"/>
              </w:rPr>
              <w:t>5</w:t>
            </w:r>
            <w:r>
              <w:rPr>
                <w:rFonts w:hint="eastAsia"/>
                <w:sz w:val="24"/>
              </w:rPr>
              <w:t>、SS。</w:t>
            </w:r>
          </w:p>
          <w:p w14:paraId="349B3F9B">
            <w:pPr>
              <w:spacing w:line="500" w:lineRule="exact"/>
              <w:ind w:firstLine="480" w:firstLineChars="200"/>
              <w:rPr>
                <w:rFonts w:hint="eastAsia"/>
                <w:sz w:val="24"/>
              </w:rPr>
            </w:pPr>
            <w:r>
              <w:rPr>
                <w:rFonts w:hint="eastAsia"/>
                <w:sz w:val="24"/>
              </w:rPr>
              <w:t>6、保证节约用水用电，不浪费能源，减少能耗和提高处理效率及减少设备损耗。</w:t>
            </w:r>
          </w:p>
          <w:p w14:paraId="0B3C8A77">
            <w:pPr>
              <w:spacing w:line="500" w:lineRule="exact"/>
              <w:ind w:firstLine="448" w:firstLineChars="187"/>
              <w:rPr>
                <w:rFonts w:hint="eastAsia"/>
                <w:sz w:val="24"/>
              </w:rPr>
            </w:pPr>
            <w:r>
              <w:rPr>
                <w:rFonts w:hint="eastAsia"/>
                <w:sz w:val="24"/>
              </w:rPr>
              <w:t>7、尽可能量化运营管理工作，每天认真做好设备运行记录，水质检验记录，药剂投加量记录，按实际检测数据填写记录，不得弄虚作假。</w:t>
            </w:r>
          </w:p>
          <w:p w14:paraId="57B5B57D">
            <w:pPr>
              <w:spacing w:line="500" w:lineRule="exact"/>
              <w:ind w:firstLine="448" w:firstLineChars="187"/>
              <w:rPr>
                <w:rFonts w:hint="eastAsia"/>
                <w:sz w:val="24"/>
              </w:rPr>
            </w:pPr>
            <w:r>
              <w:rPr>
                <w:rFonts w:hint="eastAsia"/>
                <w:sz w:val="24"/>
              </w:rPr>
              <w:t>8、明确各个站点的责任人、操作人员，将其相关资料（如姓名、上岗证、身份证、联系电话等）归档，并将责任人、操作人员的姓名和联系电话等张贴在对应站点的明显位置。</w:t>
            </w:r>
          </w:p>
          <w:p w14:paraId="73D2FF69">
            <w:pPr>
              <w:spacing w:line="500" w:lineRule="exact"/>
              <w:ind w:firstLine="448" w:firstLineChars="187"/>
              <w:rPr>
                <w:rFonts w:hint="eastAsia"/>
                <w:sz w:val="24"/>
              </w:rPr>
            </w:pPr>
            <w:r>
              <w:rPr>
                <w:rFonts w:hint="eastAsia"/>
                <w:sz w:val="24"/>
              </w:rPr>
              <w:t>9、负责污水站的配件、设备维修或更换（小于等于500元/次件），若一次性设备更换或维修费大于500元由</w:t>
            </w:r>
            <w:r>
              <w:rPr>
                <w:rFonts w:hint="eastAsia"/>
                <w:color w:val="000000"/>
                <w:sz w:val="24"/>
                <w:lang w:eastAsia="zh-CN"/>
              </w:rPr>
              <w:t>采购人</w:t>
            </w:r>
            <w:r>
              <w:rPr>
                <w:rFonts w:hint="eastAsia"/>
                <w:sz w:val="24"/>
              </w:rPr>
              <w:t>负责，小于等于500元的维护、保养费用由</w:t>
            </w:r>
            <w:r>
              <w:rPr>
                <w:rFonts w:hint="eastAsia"/>
                <w:color w:val="000000"/>
                <w:sz w:val="24"/>
                <w:lang w:eastAsia="zh-CN"/>
              </w:rPr>
              <w:t>供应商</w:t>
            </w:r>
            <w:r>
              <w:rPr>
                <w:rFonts w:hint="eastAsia"/>
                <w:sz w:val="24"/>
              </w:rPr>
              <w:t>支付。</w:t>
            </w:r>
          </w:p>
          <w:p w14:paraId="379C8DE1">
            <w:pPr>
              <w:spacing w:line="500" w:lineRule="exact"/>
              <w:ind w:firstLine="448" w:firstLineChars="187"/>
              <w:rPr>
                <w:rFonts w:hint="eastAsia"/>
                <w:sz w:val="24"/>
              </w:rPr>
            </w:pPr>
            <w:r>
              <w:rPr>
                <w:rFonts w:hint="eastAsia"/>
                <w:sz w:val="24"/>
              </w:rPr>
              <w:t>10、在承包期内，负责超标排放责任和卫监、环保</w:t>
            </w:r>
            <w:r>
              <w:rPr>
                <w:rFonts w:hint="eastAsia"/>
                <w:sz w:val="24"/>
                <w:lang w:eastAsia="zh-CN"/>
              </w:rPr>
              <w:t>、水务</w:t>
            </w:r>
            <w:bookmarkStart w:id="0" w:name="_GoBack"/>
            <w:bookmarkEnd w:id="0"/>
            <w:r>
              <w:rPr>
                <w:rFonts w:hint="eastAsia"/>
                <w:sz w:val="24"/>
              </w:rPr>
              <w:t>等部门罚款。如出现</w:t>
            </w:r>
            <w:r>
              <w:rPr>
                <w:rFonts w:hint="eastAsia"/>
                <w:color w:val="000000"/>
                <w:sz w:val="24"/>
                <w:lang w:eastAsia="zh-CN"/>
              </w:rPr>
              <w:t>采购人</w:t>
            </w:r>
            <w:r>
              <w:rPr>
                <w:rFonts w:hint="eastAsia"/>
                <w:sz w:val="24"/>
              </w:rPr>
              <w:t>污水采样抽检数据不达标，</w:t>
            </w:r>
            <w:r>
              <w:rPr>
                <w:rFonts w:hint="eastAsia"/>
                <w:color w:val="000000"/>
                <w:sz w:val="24"/>
                <w:lang w:eastAsia="zh-CN"/>
              </w:rPr>
              <w:t>供应商</w:t>
            </w:r>
            <w:r>
              <w:rPr>
                <w:rFonts w:hint="eastAsia"/>
                <w:sz w:val="24"/>
              </w:rPr>
              <w:t>必须书面说明原因，并在五天内完成整改，如确系</w:t>
            </w:r>
            <w:r>
              <w:rPr>
                <w:rFonts w:hint="eastAsia"/>
                <w:color w:val="000000"/>
                <w:sz w:val="24"/>
                <w:lang w:eastAsia="zh-CN"/>
              </w:rPr>
              <w:t>供应商</w:t>
            </w:r>
            <w:r>
              <w:rPr>
                <w:rFonts w:hint="eastAsia"/>
                <w:sz w:val="24"/>
              </w:rPr>
              <w:t>原因引起采样抽检数据不达标，则扣除该站点当月运营费的30%。如同一站点再次抽检数据不达标，则扣除该站点当月运营费的50%。如相同月内出现四个站点抽检数据不达标的情况，扣除当月运营费的50%，同时甲方保留终止合同的权利。</w:t>
            </w:r>
          </w:p>
          <w:p w14:paraId="1D518E1D">
            <w:pPr>
              <w:spacing w:line="500" w:lineRule="exact"/>
              <w:ind w:firstLine="448" w:firstLineChars="187"/>
              <w:rPr>
                <w:rFonts w:hint="eastAsia"/>
                <w:sz w:val="24"/>
              </w:rPr>
            </w:pPr>
            <w:r>
              <w:rPr>
                <w:rFonts w:hint="eastAsia"/>
                <w:sz w:val="24"/>
              </w:rPr>
              <w:t>11、向</w:t>
            </w:r>
            <w:r>
              <w:rPr>
                <w:rFonts w:hint="eastAsia"/>
                <w:color w:val="000000"/>
                <w:sz w:val="24"/>
                <w:lang w:eastAsia="zh-CN"/>
              </w:rPr>
              <w:t>采购人</w:t>
            </w:r>
            <w:r>
              <w:rPr>
                <w:rFonts w:hint="eastAsia"/>
                <w:sz w:val="24"/>
              </w:rPr>
              <w:t>提供环保技术、环保问题咨询和服务。</w:t>
            </w:r>
            <w:r>
              <w:rPr>
                <w:rFonts w:hint="eastAsia"/>
                <w:color w:val="000000"/>
                <w:sz w:val="24"/>
                <w:lang w:eastAsia="zh-CN"/>
              </w:rPr>
              <w:t>供应商</w:t>
            </w:r>
            <w:r>
              <w:rPr>
                <w:rFonts w:hint="eastAsia"/>
                <w:sz w:val="24"/>
              </w:rPr>
              <w:t>应积极配合并需根据</w:t>
            </w:r>
            <w:r>
              <w:rPr>
                <w:rFonts w:hint="eastAsia"/>
                <w:color w:val="000000"/>
                <w:sz w:val="24"/>
                <w:lang w:eastAsia="zh-CN"/>
              </w:rPr>
              <w:t>采购人</w:t>
            </w:r>
            <w:r>
              <w:rPr>
                <w:rFonts w:hint="eastAsia"/>
                <w:sz w:val="24"/>
              </w:rPr>
              <w:t>要求派出环保工程专业技术人员，进驻现场配合甲方完善相关环保工作，提供相关的环保咨询和服务。</w:t>
            </w:r>
          </w:p>
          <w:p w14:paraId="296CC9D0">
            <w:pPr>
              <w:spacing w:line="500" w:lineRule="exact"/>
              <w:ind w:firstLine="448" w:firstLineChars="187"/>
              <w:rPr>
                <w:rFonts w:hint="eastAsia"/>
                <w:sz w:val="24"/>
              </w:rPr>
            </w:pPr>
            <w:r>
              <w:rPr>
                <w:rFonts w:hint="eastAsia"/>
                <w:sz w:val="24"/>
              </w:rPr>
              <w:t>12、每年的排污申报工作（甲方提前告知每年的申报截止时间）。</w:t>
            </w:r>
            <w:r>
              <w:rPr>
                <w:rFonts w:hint="eastAsia"/>
                <w:color w:val="000000"/>
                <w:sz w:val="24"/>
                <w:lang w:eastAsia="zh-CN"/>
              </w:rPr>
              <w:t>采购人</w:t>
            </w:r>
            <w:r>
              <w:rPr>
                <w:rFonts w:hint="eastAsia"/>
                <w:sz w:val="24"/>
              </w:rPr>
              <w:t>应如实提供相关排污申报基础数据并确认外送报表和资料，</w:t>
            </w:r>
            <w:r>
              <w:rPr>
                <w:rFonts w:hint="eastAsia"/>
                <w:color w:val="000000"/>
                <w:sz w:val="24"/>
                <w:lang w:eastAsia="zh-CN"/>
              </w:rPr>
              <w:t>供应商</w:t>
            </w:r>
            <w:r>
              <w:rPr>
                <w:rFonts w:hint="eastAsia"/>
                <w:sz w:val="24"/>
              </w:rPr>
              <w:t>负责排污申报登记表的填写和外送并配合做好排污审核登记审核工作。</w:t>
            </w:r>
          </w:p>
          <w:p w14:paraId="564944FD">
            <w:pPr>
              <w:spacing w:line="500" w:lineRule="exact"/>
              <w:ind w:firstLine="448" w:firstLineChars="187"/>
              <w:rPr>
                <w:rFonts w:hint="eastAsia"/>
                <w:sz w:val="24"/>
              </w:rPr>
            </w:pPr>
            <w:r>
              <w:rPr>
                <w:rFonts w:hint="eastAsia"/>
                <w:sz w:val="24"/>
              </w:rPr>
              <w:t>13、保持污水处理间环境卫生、物品清洁整齐。</w:t>
            </w:r>
          </w:p>
          <w:p w14:paraId="7F3EC80D">
            <w:pPr>
              <w:spacing w:line="500" w:lineRule="exact"/>
              <w:ind w:firstLine="448" w:firstLineChars="187"/>
              <w:rPr>
                <w:sz w:val="24"/>
              </w:rPr>
            </w:pPr>
            <w:r>
              <w:rPr>
                <w:rFonts w:hint="eastAsia"/>
                <w:sz w:val="24"/>
              </w:rPr>
              <w:t>14、操作员工作期间应做好个人防护；设立防护物资储物专用箱，防护设施、物品需齐全备足用量；如违规操作发生的职业暴露事件由</w:t>
            </w:r>
            <w:r>
              <w:rPr>
                <w:rFonts w:hint="eastAsia"/>
                <w:color w:val="000000"/>
                <w:sz w:val="24"/>
                <w:lang w:eastAsia="zh-CN"/>
              </w:rPr>
              <w:t>供应商</w:t>
            </w:r>
            <w:r>
              <w:rPr>
                <w:rFonts w:hint="eastAsia"/>
                <w:sz w:val="24"/>
              </w:rPr>
              <w:t>负责。</w:t>
            </w:r>
          </w:p>
          <w:p w14:paraId="1CD6DD48"/>
        </w:tc>
      </w:tr>
      <w:tr w14:paraId="68CC1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6" w:type="dxa"/>
          </w:tcPr>
          <w:p w14:paraId="38091CA3">
            <w:r>
              <w:t>2</w:t>
            </w:r>
          </w:p>
        </w:tc>
        <w:tc>
          <w:tcPr>
            <w:tcW w:w="8113" w:type="dxa"/>
          </w:tcPr>
          <w:p w14:paraId="7D78534E">
            <w:r>
              <w:rPr>
                <w:b/>
                <w:color w:val="000000"/>
                <w:sz w:val="24"/>
              </w:rPr>
              <w:t>三、技术要求：</w:t>
            </w:r>
          </w:p>
          <w:p w14:paraId="148C36C7">
            <w:r>
              <w:rPr>
                <w:color w:val="000000"/>
                <w:sz w:val="24"/>
              </w:rPr>
              <w:t>（1）保证污水达标排放，执行《医疗机构污染物排放标准》GB18466-2005中表2预处理标准。（如在合同履行期间国家或地方政府颁发新的排放标准则依照新的排放标准执行），因</w:t>
            </w:r>
            <w:r>
              <w:rPr>
                <w:rFonts w:hint="eastAsia"/>
                <w:color w:val="000000"/>
                <w:sz w:val="24"/>
                <w:lang w:eastAsia="zh-CN"/>
              </w:rPr>
              <w:t>供应商</w:t>
            </w:r>
            <w:r>
              <w:rPr>
                <w:color w:val="000000"/>
                <w:sz w:val="24"/>
              </w:rPr>
              <w:t>的原因造成污水排放不达标，由</w:t>
            </w:r>
            <w:r>
              <w:rPr>
                <w:rFonts w:hint="eastAsia"/>
                <w:color w:val="000000"/>
                <w:sz w:val="24"/>
                <w:lang w:eastAsia="zh-CN"/>
              </w:rPr>
              <w:t>供应商</w:t>
            </w:r>
            <w:r>
              <w:rPr>
                <w:color w:val="000000"/>
                <w:sz w:val="24"/>
              </w:rPr>
              <w:t>自行承担由此引起的一切经济处罚及其他连带责任，超标排污费由</w:t>
            </w:r>
            <w:r>
              <w:rPr>
                <w:rFonts w:hint="eastAsia"/>
                <w:color w:val="000000"/>
                <w:sz w:val="24"/>
                <w:lang w:eastAsia="zh-CN"/>
              </w:rPr>
              <w:t>供应商</w:t>
            </w:r>
            <w:r>
              <w:rPr>
                <w:color w:val="000000"/>
                <w:sz w:val="24"/>
              </w:rPr>
              <w:t>承担，同时，采购人有权对</w:t>
            </w:r>
            <w:r>
              <w:rPr>
                <w:rFonts w:hint="eastAsia"/>
                <w:color w:val="000000"/>
                <w:sz w:val="24"/>
                <w:lang w:eastAsia="zh-CN"/>
              </w:rPr>
              <w:t>供应商</w:t>
            </w:r>
            <w:r>
              <w:rPr>
                <w:color w:val="000000"/>
                <w:sz w:val="24"/>
              </w:rPr>
              <w:t>扣罚当月运营费，情节严重的，采购人有权解除合同并要求赔偿。</w:t>
            </w:r>
          </w:p>
          <w:p w14:paraId="132CBE09">
            <w:r>
              <w:rPr>
                <w:color w:val="000000"/>
                <w:sz w:val="24"/>
              </w:rPr>
              <w:t>（2）保证排放的污水符合环保、卫生、疾控等相关主管部门要求的排放标准。</w:t>
            </w:r>
          </w:p>
          <w:p w14:paraId="4F2D72BE">
            <w:r>
              <w:rPr>
                <w:color w:val="000000"/>
                <w:sz w:val="24"/>
              </w:rPr>
              <w:t>（3）服务人员驻场要求：</w:t>
            </w:r>
            <w:r>
              <w:rPr>
                <w:rFonts w:hint="eastAsia"/>
                <w:color w:val="000000"/>
                <w:sz w:val="24"/>
                <w:lang w:eastAsia="zh-CN"/>
              </w:rPr>
              <w:t>供应商</w:t>
            </w:r>
            <w:r>
              <w:rPr>
                <w:color w:val="000000"/>
                <w:sz w:val="24"/>
              </w:rPr>
              <w:t>必须确保每个污水处理站每天</w:t>
            </w:r>
            <w:r>
              <w:rPr>
                <w:rFonts w:hint="eastAsia"/>
                <w:color w:val="000000"/>
                <w:sz w:val="24"/>
                <w:lang w:eastAsia="zh-CN"/>
              </w:rPr>
              <w:t>有人负责</w:t>
            </w:r>
            <w:r>
              <w:rPr>
                <w:color w:val="000000"/>
                <w:sz w:val="24"/>
              </w:rPr>
              <w:t>运营操作。</w:t>
            </w:r>
          </w:p>
        </w:tc>
      </w:tr>
      <w:tr w14:paraId="4A2F9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6" w:type="dxa"/>
          </w:tcPr>
          <w:p w14:paraId="6017F5FE">
            <w:r>
              <w:t>3</w:t>
            </w:r>
          </w:p>
        </w:tc>
        <w:tc>
          <w:tcPr>
            <w:tcW w:w="8113" w:type="dxa"/>
            <w:vAlign w:val="top"/>
          </w:tcPr>
          <w:p w14:paraId="663D5AD8">
            <w:pPr>
              <w:ind w:firstLine="480"/>
            </w:pPr>
            <w:r>
              <w:rPr>
                <w:color w:val="000000"/>
                <w:sz w:val="24"/>
              </w:rPr>
              <w:t>拟投入的服务团队中，运营操作人员至少</w:t>
            </w:r>
            <w:r>
              <w:rPr>
                <w:rFonts w:hint="eastAsia"/>
                <w:color w:val="000000"/>
                <w:sz w:val="24"/>
                <w:lang w:val="en-US" w:eastAsia="zh-CN"/>
              </w:rPr>
              <w:t>5</w:t>
            </w:r>
            <w:r>
              <w:rPr>
                <w:color w:val="000000"/>
                <w:sz w:val="24"/>
              </w:rPr>
              <w:t>人（其中项目经理1名，技术负责人1名，维修保养人员1名。投入的服务团队中应至少配置有环境类或环保类相关专业中级职称不少于</w:t>
            </w:r>
            <w:r>
              <w:rPr>
                <w:rFonts w:hint="eastAsia"/>
                <w:color w:val="000000"/>
                <w:sz w:val="24"/>
                <w:lang w:val="en-US" w:eastAsia="zh-CN"/>
              </w:rPr>
              <w:t>2</w:t>
            </w:r>
            <w:r>
              <w:rPr>
                <w:color w:val="000000"/>
                <w:sz w:val="24"/>
              </w:rPr>
              <w:t>人和高级工程师不少于1人）。</w:t>
            </w:r>
          </w:p>
          <w:p w14:paraId="07989882">
            <w:r>
              <w:rPr>
                <w:color w:val="000000"/>
                <w:sz w:val="24"/>
              </w:rPr>
              <w:t>（4）</w:t>
            </w:r>
            <w:r>
              <w:rPr>
                <w:rFonts w:hint="eastAsia"/>
                <w:color w:val="000000"/>
                <w:sz w:val="24"/>
                <w:lang w:eastAsia="zh-CN"/>
              </w:rPr>
              <w:t>供应商</w:t>
            </w:r>
            <w:r>
              <w:rPr>
                <w:color w:val="000000"/>
                <w:sz w:val="24"/>
              </w:rPr>
              <w:t>应为本项目制定运营实施方案，方案内容应至少包含运营、维修养护计划方案及质量控制和保证计划、工作记录管理方案、服务团队的组织架构。</w:t>
            </w:r>
          </w:p>
          <w:p w14:paraId="2C6EDC57">
            <w:r>
              <w:rPr>
                <w:color w:val="000000"/>
                <w:sz w:val="24"/>
              </w:rPr>
              <w:t>（5）</w:t>
            </w:r>
            <w:r>
              <w:rPr>
                <w:rFonts w:hint="eastAsia"/>
                <w:color w:val="000000"/>
                <w:sz w:val="24"/>
                <w:lang w:eastAsia="zh-CN"/>
              </w:rPr>
              <w:t>供应商</w:t>
            </w:r>
            <w:r>
              <w:rPr>
                <w:color w:val="000000"/>
                <w:sz w:val="24"/>
              </w:rPr>
              <w:t>应为本项目制定污水站水质检测设备的配备方案，拟投入的水质检测设备应至少包含COD、氨氮、总磷、总氮测定仪；COD、氨氮、总磷消解仪；pH测定仪；电子天平，并定期对上述设备进行校准。</w:t>
            </w:r>
          </w:p>
          <w:p w14:paraId="3C82E2CF">
            <w:r>
              <w:rPr>
                <w:color w:val="000000"/>
                <w:sz w:val="24"/>
              </w:rPr>
              <w:t>（6）</w:t>
            </w:r>
            <w:r>
              <w:rPr>
                <w:rFonts w:hint="eastAsia"/>
                <w:color w:val="000000"/>
                <w:sz w:val="24"/>
                <w:lang w:eastAsia="zh-CN"/>
              </w:rPr>
              <w:t>供应商</w:t>
            </w:r>
            <w:r>
              <w:rPr>
                <w:color w:val="000000"/>
                <w:sz w:val="24"/>
              </w:rPr>
              <w:t>应为本项目制定人员配置方案，并明确操作规程及岗位责任。</w:t>
            </w:r>
            <w:r>
              <w:rPr>
                <w:rFonts w:hint="eastAsia"/>
                <w:color w:val="000000"/>
                <w:sz w:val="24"/>
                <w:lang w:eastAsia="zh-CN"/>
              </w:rPr>
              <w:t>供应商</w:t>
            </w:r>
            <w:r>
              <w:rPr>
                <w:color w:val="000000"/>
                <w:sz w:val="24"/>
              </w:rPr>
              <w:t>为本项目投入的服务人员应具备专业性，应至少投入环境类或环保类相关专业的中级和高级工程师各1名。拟投入的服务人员应相对固定，如中标，所有团队服务人员必须与投标文件中一致。项目执行过程中，服务团队人员原则上不得更换，如需更换需征得采购人同意，更换人员的资质须不低于被更换人员的资质。采购人有权要求更换不符合服务要求的人员。</w:t>
            </w:r>
          </w:p>
          <w:p w14:paraId="0E7C24C8">
            <w:r>
              <w:rPr>
                <w:color w:val="000000"/>
                <w:sz w:val="24"/>
              </w:rPr>
              <w:t>（7）</w:t>
            </w:r>
            <w:r>
              <w:rPr>
                <w:rFonts w:hint="eastAsia"/>
                <w:color w:val="000000"/>
                <w:sz w:val="24"/>
                <w:lang w:eastAsia="zh-CN"/>
              </w:rPr>
              <w:t>供应商</w:t>
            </w:r>
            <w:r>
              <w:rPr>
                <w:color w:val="000000"/>
                <w:sz w:val="24"/>
              </w:rPr>
              <w:t>应针对本项目制定运营记录表、化验记录表、费用分析表的模板格式。</w:t>
            </w:r>
          </w:p>
          <w:p w14:paraId="36468DFE">
            <w:r>
              <w:rPr>
                <w:color w:val="000000"/>
                <w:sz w:val="24"/>
              </w:rPr>
              <w:t>（8）</w:t>
            </w:r>
            <w:r>
              <w:rPr>
                <w:rFonts w:hint="eastAsia"/>
                <w:color w:val="000000"/>
                <w:sz w:val="24"/>
                <w:lang w:eastAsia="zh-CN"/>
              </w:rPr>
              <w:t>供应商</w:t>
            </w:r>
            <w:r>
              <w:rPr>
                <w:color w:val="000000"/>
                <w:sz w:val="24"/>
              </w:rPr>
              <w:t>应制定安全和防护制度，包括但不限于从事本项目运营管理人员日常作业的防护、岗位安全责任制度。</w:t>
            </w:r>
          </w:p>
          <w:p w14:paraId="74B90C59">
            <w:r>
              <w:rPr>
                <w:color w:val="000000"/>
                <w:sz w:val="24"/>
              </w:rPr>
              <w:t>（9）</w:t>
            </w:r>
            <w:r>
              <w:rPr>
                <w:rFonts w:hint="eastAsia"/>
                <w:color w:val="000000"/>
                <w:sz w:val="24"/>
                <w:lang w:eastAsia="zh-CN"/>
              </w:rPr>
              <w:t>供应商</w:t>
            </w:r>
            <w:r>
              <w:rPr>
                <w:color w:val="000000"/>
                <w:sz w:val="24"/>
              </w:rPr>
              <w:t>应充分理解项目需求，应对采购人设备型号、排污许可的相关法律法规、对本项目所需检测项目有所了解。</w:t>
            </w:r>
          </w:p>
          <w:p w14:paraId="0810335A">
            <w:r>
              <w:rPr>
                <w:color w:val="000000"/>
                <w:sz w:val="24"/>
              </w:rPr>
              <w:t>（10）</w:t>
            </w:r>
            <w:r>
              <w:rPr>
                <w:rFonts w:hint="eastAsia"/>
                <w:color w:val="000000"/>
                <w:sz w:val="24"/>
                <w:lang w:eastAsia="zh-CN"/>
              </w:rPr>
              <w:t>供应商</w:t>
            </w:r>
            <w:r>
              <w:rPr>
                <w:color w:val="000000"/>
                <w:sz w:val="24"/>
              </w:rPr>
              <w:t>应针对项目实施过程中的重点、难点进行分析，且有相应的对策。</w:t>
            </w:r>
          </w:p>
          <w:p w14:paraId="39C3DBA5">
            <w:r>
              <w:rPr>
                <w:color w:val="000000"/>
                <w:sz w:val="24"/>
              </w:rPr>
              <w:t>（11）项目对</w:t>
            </w:r>
            <w:r>
              <w:rPr>
                <w:rFonts w:hint="eastAsia"/>
                <w:color w:val="000000"/>
                <w:sz w:val="24"/>
                <w:lang w:eastAsia="zh-CN"/>
              </w:rPr>
              <w:t>供应商</w:t>
            </w:r>
            <w:r>
              <w:rPr>
                <w:color w:val="000000"/>
                <w:sz w:val="24"/>
              </w:rPr>
              <w:t>的服务要求高，要求</w:t>
            </w:r>
            <w:r>
              <w:rPr>
                <w:rFonts w:hint="eastAsia"/>
                <w:color w:val="000000"/>
                <w:sz w:val="24"/>
                <w:lang w:eastAsia="zh-CN"/>
              </w:rPr>
              <w:t>供应商</w:t>
            </w:r>
            <w:r>
              <w:rPr>
                <w:color w:val="000000"/>
                <w:sz w:val="24"/>
              </w:rPr>
              <w:t>的企业管理体系方面应完善、规范，具备相应的体系认证证书。要求</w:t>
            </w:r>
            <w:r>
              <w:rPr>
                <w:rFonts w:hint="eastAsia"/>
                <w:color w:val="000000"/>
                <w:sz w:val="24"/>
                <w:lang w:eastAsia="zh-CN"/>
              </w:rPr>
              <w:t>供应商</w:t>
            </w:r>
            <w:r>
              <w:rPr>
                <w:color w:val="000000"/>
                <w:sz w:val="24"/>
              </w:rPr>
              <w:t>有同类项目经验。</w:t>
            </w:r>
          </w:p>
          <w:p w14:paraId="5762CD0C">
            <w:r>
              <w:rPr>
                <w:b/>
                <w:color w:val="000000"/>
                <w:sz w:val="24"/>
              </w:rPr>
              <w:t>四、</w:t>
            </w:r>
            <w:r>
              <w:rPr>
                <w:rFonts w:hint="eastAsia"/>
                <w:b/>
                <w:color w:val="000000"/>
                <w:sz w:val="24"/>
                <w:lang w:eastAsia="zh-CN"/>
              </w:rPr>
              <w:t>供应商</w:t>
            </w:r>
            <w:r>
              <w:rPr>
                <w:b/>
                <w:color w:val="000000"/>
                <w:sz w:val="24"/>
              </w:rPr>
              <w:t>责任：</w:t>
            </w:r>
          </w:p>
          <w:p w14:paraId="451FA4A2">
            <w:r>
              <w:rPr>
                <w:color w:val="000000"/>
                <w:sz w:val="24"/>
              </w:rPr>
              <w:t>（1）为保障运营管理人员的人身安全及意外保险，应按社会劳动保险的有关规定，为员工购买养老、工伤、 医疗、失业等保险。</w:t>
            </w:r>
          </w:p>
          <w:p w14:paraId="54E427D4">
            <w:r>
              <w:rPr>
                <w:color w:val="000000"/>
                <w:sz w:val="24"/>
              </w:rPr>
              <w:t>（2）从事本项目运营管理人员日常作业时，应配置并提供能保证运营人员安全作业的工具和劳动保护用品。</w:t>
            </w:r>
          </w:p>
          <w:p w14:paraId="178D3511">
            <w:r>
              <w:rPr>
                <w:color w:val="000000"/>
                <w:sz w:val="24"/>
              </w:rPr>
              <w:t>（3）</w:t>
            </w:r>
            <w:r>
              <w:rPr>
                <w:rFonts w:hint="eastAsia"/>
                <w:color w:val="000000"/>
                <w:sz w:val="24"/>
                <w:lang w:eastAsia="zh-CN"/>
              </w:rPr>
              <w:t>供应商</w:t>
            </w:r>
            <w:r>
              <w:rPr>
                <w:color w:val="000000"/>
                <w:sz w:val="24"/>
              </w:rPr>
              <w:t>接管污水处理站后，必须严格执行《中华人民共和国环境保护法》及地方有关法律法规、标准，遵守现行颁布的环境管理规章制度及有关政策。</w:t>
            </w:r>
          </w:p>
          <w:p w14:paraId="2F461F62">
            <w:r>
              <w:rPr>
                <w:color w:val="000000"/>
                <w:sz w:val="24"/>
              </w:rPr>
              <w:t>（4）</w:t>
            </w:r>
            <w:r>
              <w:rPr>
                <w:rFonts w:hint="eastAsia"/>
                <w:color w:val="000000"/>
                <w:sz w:val="24"/>
                <w:lang w:eastAsia="zh-CN"/>
              </w:rPr>
              <w:t>供应商</w:t>
            </w:r>
            <w:r>
              <w:rPr>
                <w:color w:val="000000"/>
                <w:sz w:val="24"/>
              </w:rPr>
              <w:t>应配备充足的运营管理人员，制定岗位安全责任制度，保证污水处理站不间断正常运转，确保处理后的污水满足排放标准要求，对系统设备、设施运行中出现的故障及时进行维修维护，制定《设备维护保养计划》，定期进行维护保养，定期清淤、清渣等。</w:t>
            </w:r>
            <w:r>
              <w:rPr>
                <w:rFonts w:hint="eastAsia"/>
                <w:color w:val="000000"/>
                <w:sz w:val="24"/>
                <w:lang w:eastAsia="zh-CN"/>
              </w:rPr>
              <w:t>供应商</w:t>
            </w:r>
            <w:r>
              <w:rPr>
                <w:color w:val="000000"/>
                <w:sz w:val="24"/>
              </w:rPr>
              <w:t>每月提供一份有资质的第三方检测机构出具的水质检测报告和环境噪声监测报告给采购人。</w:t>
            </w:r>
          </w:p>
          <w:p w14:paraId="3BED97C7">
            <w:r>
              <w:rPr>
                <w:color w:val="000000"/>
                <w:sz w:val="24"/>
              </w:rPr>
              <w:t>（5）</w:t>
            </w:r>
            <w:r>
              <w:rPr>
                <w:rFonts w:hint="eastAsia"/>
                <w:color w:val="000000"/>
                <w:sz w:val="24"/>
                <w:lang w:eastAsia="zh-CN"/>
              </w:rPr>
              <w:t>供应商</w:t>
            </w:r>
            <w:r>
              <w:rPr>
                <w:color w:val="000000"/>
                <w:sz w:val="24"/>
              </w:rPr>
              <w:t>应建立日常工作记录台账，将每日进行的一切工作活动记录在册，包括但不限于开泵、关泵、清渣、投加药剂、定时清理格栅，以及维修保养、交接值班时间和工作内容等。</w:t>
            </w:r>
          </w:p>
          <w:p w14:paraId="764B6E4D">
            <w:r>
              <w:rPr>
                <w:color w:val="000000"/>
                <w:sz w:val="24"/>
              </w:rPr>
              <w:t>（6）</w:t>
            </w:r>
            <w:r>
              <w:rPr>
                <w:rFonts w:hint="eastAsia"/>
                <w:color w:val="000000"/>
                <w:sz w:val="24"/>
                <w:lang w:eastAsia="zh-CN"/>
              </w:rPr>
              <w:t>供应商</w:t>
            </w:r>
            <w:r>
              <w:rPr>
                <w:color w:val="000000"/>
                <w:sz w:val="24"/>
              </w:rPr>
              <w:t>应保证污水处理设备和设施的安全与完整，防止各类事故的发生，如因管理不善造成的经济损失或重大事故，由</w:t>
            </w:r>
            <w:r>
              <w:rPr>
                <w:rFonts w:hint="eastAsia"/>
                <w:color w:val="000000"/>
                <w:sz w:val="24"/>
                <w:lang w:eastAsia="zh-CN"/>
              </w:rPr>
              <w:t>供应商</w:t>
            </w:r>
            <w:r>
              <w:rPr>
                <w:color w:val="000000"/>
                <w:sz w:val="24"/>
              </w:rPr>
              <w:t>承担全部的经济、法律责任。</w:t>
            </w:r>
          </w:p>
          <w:p w14:paraId="241FB5FA">
            <w:r>
              <w:rPr>
                <w:color w:val="000000"/>
                <w:sz w:val="24"/>
              </w:rPr>
              <w:t>（7）</w:t>
            </w:r>
            <w:r>
              <w:rPr>
                <w:rFonts w:hint="eastAsia"/>
                <w:color w:val="000000"/>
                <w:sz w:val="24"/>
                <w:lang w:eastAsia="zh-CN"/>
              </w:rPr>
              <w:t>供应商</w:t>
            </w:r>
            <w:r>
              <w:rPr>
                <w:color w:val="000000"/>
                <w:sz w:val="24"/>
              </w:rPr>
              <w:t>必须接受采购人的监督和管理，对不规范运作和不按合同要求执行时采购人有权要求</w:t>
            </w:r>
            <w:r>
              <w:rPr>
                <w:rFonts w:hint="eastAsia"/>
                <w:color w:val="000000"/>
                <w:sz w:val="24"/>
                <w:lang w:eastAsia="zh-CN"/>
              </w:rPr>
              <w:t>供应商</w:t>
            </w:r>
            <w:r>
              <w:rPr>
                <w:color w:val="000000"/>
                <w:sz w:val="24"/>
              </w:rPr>
              <w:t>纠正，如</w:t>
            </w:r>
            <w:r>
              <w:rPr>
                <w:rFonts w:hint="eastAsia"/>
                <w:color w:val="000000"/>
                <w:sz w:val="24"/>
                <w:lang w:eastAsia="zh-CN"/>
              </w:rPr>
              <w:t>供应商</w:t>
            </w:r>
            <w:r>
              <w:rPr>
                <w:color w:val="000000"/>
                <w:sz w:val="24"/>
              </w:rPr>
              <w:t>连续两次拒不执行，采购人将扣罚当月运营费用的30%，如连续三次拒不执行，采购人有权单方面解除合同关系。</w:t>
            </w:r>
          </w:p>
          <w:p w14:paraId="5973D6BF">
            <w:r>
              <w:rPr>
                <w:color w:val="000000"/>
                <w:sz w:val="24"/>
              </w:rPr>
              <w:t>（8）运营服务合同期限到后，</w:t>
            </w:r>
            <w:r>
              <w:rPr>
                <w:rFonts w:hint="eastAsia"/>
                <w:color w:val="000000"/>
                <w:sz w:val="24"/>
                <w:lang w:eastAsia="zh-CN"/>
              </w:rPr>
              <w:t>供应商</w:t>
            </w:r>
            <w:r>
              <w:rPr>
                <w:color w:val="000000"/>
                <w:sz w:val="24"/>
              </w:rPr>
              <w:t>应将所有资料无条件移交给采购人，且保证资料的真实与完整。</w:t>
            </w:r>
          </w:p>
          <w:p w14:paraId="0E5F384D">
            <w:r>
              <w:rPr>
                <w:color w:val="000000"/>
                <w:sz w:val="24"/>
              </w:rPr>
              <w:t>（9）</w:t>
            </w:r>
            <w:r>
              <w:rPr>
                <w:rFonts w:hint="eastAsia"/>
                <w:color w:val="000000"/>
                <w:sz w:val="24"/>
                <w:lang w:eastAsia="zh-CN"/>
              </w:rPr>
              <w:t>供应商</w:t>
            </w:r>
            <w:r>
              <w:rPr>
                <w:color w:val="000000"/>
                <w:sz w:val="24"/>
              </w:rPr>
              <w:t>必须确保每个污水处理站每天24小时都有值班运营人员，且值班人员需持污水处理工证上岗，管理人员应持有中级污水处理工上岗证上岗，至少1名维修人员必须依法持有有效的《中华人民共和国特种作业操作证》（电工作业）上岗。</w:t>
            </w:r>
          </w:p>
          <w:p w14:paraId="188BA896">
            <w:r>
              <w:rPr>
                <w:color w:val="000000"/>
                <w:sz w:val="24"/>
              </w:rPr>
              <w:t>（10）负责设备的检修和维修，设备运行出现故障应立即处理解决，如因</w:t>
            </w:r>
            <w:r>
              <w:rPr>
                <w:rFonts w:hint="eastAsia"/>
                <w:color w:val="000000"/>
                <w:sz w:val="24"/>
                <w:lang w:eastAsia="zh-CN"/>
              </w:rPr>
              <w:t>供应商</w:t>
            </w:r>
            <w:r>
              <w:rPr>
                <w:color w:val="000000"/>
                <w:sz w:val="24"/>
              </w:rPr>
              <w:t>未及时发现问题造成设备较大损失，应承担相应部分的责任；运营人员操作设备、检修与维修时，应做好安全防范措施，注意人身安全,运行期间发生的一切安全事故由</w:t>
            </w:r>
            <w:r>
              <w:rPr>
                <w:rFonts w:hint="eastAsia"/>
                <w:color w:val="000000"/>
                <w:sz w:val="24"/>
                <w:lang w:eastAsia="zh-CN"/>
              </w:rPr>
              <w:t>供应商</w:t>
            </w:r>
            <w:r>
              <w:rPr>
                <w:color w:val="000000"/>
                <w:sz w:val="24"/>
              </w:rPr>
              <w:t>承担。</w:t>
            </w:r>
          </w:p>
          <w:p w14:paraId="0E88B8E1">
            <w:r>
              <w:rPr>
                <w:color w:val="000000"/>
                <w:sz w:val="24"/>
              </w:rPr>
              <w:t>（11）</w:t>
            </w:r>
            <w:r>
              <w:rPr>
                <w:rFonts w:hint="eastAsia"/>
                <w:color w:val="000000"/>
                <w:sz w:val="24"/>
                <w:lang w:eastAsia="zh-CN"/>
              </w:rPr>
              <w:t>供应商</w:t>
            </w:r>
            <w:r>
              <w:rPr>
                <w:color w:val="000000"/>
                <w:sz w:val="24"/>
              </w:rPr>
              <w:t>每日应对设备进行巡视检查，并做好运行记录，保证数据的准确，做好运行台帐，每半年对格栅池、集水池、调节池等进行清扫、计量设备的检验与标定、保证井盖牢固完好、保证设备运行正常。</w:t>
            </w:r>
          </w:p>
          <w:p w14:paraId="7EC20607">
            <w:r>
              <w:rPr>
                <w:color w:val="000000"/>
                <w:sz w:val="24"/>
              </w:rPr>
              <w:t>（12）保证污水达标排放（达到中华人民共和国《医疗机构水污染物排放标准》（GB18466-2005）和广东地方标准《水污染物排放限值》（DB44/26-2001）、国家及广东省、广州市其它相关规定和标准。如排放不达标，超标排污费以及造成的一切后果均由</w:t>
            </w:r>
            <w:r>
              <w:rPr>
                <w:rFonts w:hint="eastAsia"/>
                <w:color w:val="000000"/>
                <w:sz w:val="24"/>
                <w:lang w:eastAsia="zh-CN"/>
              </w:rPr>
              <w:t>供应商</w:t>
            </w:r>
            <w:r>
              <w:rPr>
                <w:color w:val="000000"/>
                <w:sz w:val="24"/>
              </w:rPr>
              <w:t>承担。</w:t>
            </w:r>
          </w:p>
          <w:p w14:paraId="0880A790">
            <w:r>
              <w:rPr>
                <w:color w:val="000000"/>
                <w:sz w:val="24"/>
              </w:rPr>
              <w:t>（13）工作间应做好噪音管理，并保持设备及环境卫生的清洁。</w:t>
            </w:r>
          </w:p>
        </w:tc>
      </w:tr>
      <w:tr w14:paraId="327E5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6" w:type="dxa"/>
          </w:tcPr>
          <w:p w14:paraId="32C55E2B">
            <w:r>
              <w:t>4</w:t>
            </w:r>
          </w:p>
        </w:tc>
        <w:tc>
          <w:tcPr>
            <w:tcW w:w="8113" w:type="dxa"/>
          </w:tcPr>
          <w:p w14:paraId="1041E08F">
            <w:r>
              <w:rPr>
                <w:b/>
                <w:color w:val="000000"/>
                <w:sz w:val="24"/>
              </w:rPr>
              <w:t>五、其他要求</w:t>
            </w:r>
          </w:p>
          <w:p w14:paraId="5192A7A5">
            <w:r>
              <w:rPr>
                <w:color w:val="000000"/>
                <w:sz w:val="24"/>
              </w:rPr>
              <w:t>（1）</w:t>
            </w:r>
            <w:r>
              <w:rPr>
                <w:rFonts w:hint="eastAsia"/>
                <w:color w:val="000000"/>
                <w:sz w:val="24"/>
                <w:lang w:eastAsia="zh-CN"/>
              </w:rPr>
              <w:t>供应商</w:t>
            </w:r>
            <w:r>
              <w:rPr>
                <w:color w:val="000000"/>
                <w:sz w:val="24"/>
              </w:rPr>
              <w:t>须按国家法律法规的要求办理污水站使用到的所有药剂的备案（如需要），由此产生的一切费用包含在投标总价内，如因没有做好备案的，造成的一切经济损失，由</w:t>
            </w:r>
            <w:r>
              <w:rPr>
                <w:rFonts w:hint="eastAsia"/>
                <w:color w:val="000000"/>
                <w:sz w:val="24"/>
                <w:lang w:eastAsia="zh-CN"/>
              </w:rPr>
              <w:t>供应商</w:t>
            </w:r>
            <w:r>
              <w:rPr>
                <w:color w:val="000000"/>
                <w:sz w:val="24"/>
              </w:rPr>
              <w:t>负责，采购人有权单方面解除合同。</w:t>
            </w:r>
          </w:p>
          <w:p w14:paraId="6EBBD7C5">
            <w:r>
              <w:rPr>
                <w:color w:val="000000"/>
                <w:sz w:val="24"/>
              </w:rPr>
              <w:t>（2）</w:t>
            </w:r>
            <w:r>
              <w:rPr>
                <w:rFonts w:hint="eastAsia"/>
                <w:color w:val="000000"/>
                <w:sz w:val="24"/>
                <w:lang w:eastAsia="zh-CN"/>
              </w:rPr>
              <w:t>供应商</w:t>
            </w:r>
            <w:r>
              <w:rPr>
                <w:color w:val="000000"/>
                <w:sz w:val="24"/>
              </w:rPr>
              <w:t>应保证污水处理设备和设施的安全与完整，防止各类事故的发生，如因运营管理不善造成的经济损失或重大事故，由</w:t>
            </w:r>
            <w:r>
              <w:rPr>
                <w:rFonts w:hint="eastAsia"/>
                <w:color w:val="000000"/>
                <w:sz w:val="24"/>
                <w:lang w:eastAsia="zh-CN"/>
              </w:rPr>
              <w:t>供应商</w:t>
            </w:r>
            <w:r>
              <w:rPr>
                <w:color w:val="000000"/>
                <w:sz w:val="24"/>
              </w:rPr>
              <w:t>承担全部责任，采购人有权单方面解除合同并要求赔偿。</w:t>
            </w:r>
          </w:p>
          <w:p w14:paraId="2B287795">
            <w:r>
              <w:rPr>
                <w:color w:val="000000"/>
                <w:sz w:val="24"/>
              </w:rPr>
              <w:t>（3）</w:t>
            </w:r>
            <w:r>
              <w:rPr>
                <w:rFonts w:hint="eastAsia"/>
                <w:color w:val="000000"/>
                <w:sz w:val="24"/>
                <w:lang w:eastAsia="zh-CN"/>
              </w:rPr>
              <w:t>供应商</w:t>
            </w:r>
            <w:r>
              <w:rPr>
                <w:color w:val="000000"/>
                <w:sz w:val="24"/>
              </w:rPr>
              <w:t>应接受采购人的监督和管理，对不规范运作和不按协议执行，采购人有权要求中标供应商纠正，如供应商连续两次拒不执行，采购人将扣罚当月运营费用的30%，如连续三次拒不执行，采购人有权单方面解除合同关系。</w:t>
            </w:r>
          </w:p>
          <w:p w14:paraId="6BB4B12C">
            <w:r>
              <w:rPr>
                <w:color w:val="000000"/>
                <w:sz w:val="24"/>
              </w:rPr>
              <w:t>（4）</w:t>
            </w:r>
            <w:r>
              <w:rPr>
                <w:rFonts w:hint="eastAsia"/>
                <w:color w:val="000000"/>
                <w:sz w:val="24"/>
                <w:lang w:eastAsia="zh-CN"/>
              </w:rPr>
              <w:t>供应商</w:t>
            </w:r>
            <w:r>
              <w:rPr>
                <w:color w:val="000000"/>
                <w:sz w:val="24"/>
              </w:rPr>
              <w:t>自行承担拟投入本项目的备件、维修、保养费用、承担派驻本项目所有服务人员的薪资报酬、加班费、相关保险费、税费及相关管理等费用。如发生事故或劳资纠纷，由</w:t>
            </w:r>
            <w:r>
              <w:rPr>
                <w:rFonts w:hint="eastAsia"/>
                <w:color w:val="000000"/>
                <w:sz w:val="24"/>
                <w:lang w:eastAsia="zh-CN"/>
              </w:rPr>
              <w:t>供应商</w:t>
            </w:r>
            <w:r>
              <w:rPr>
                <w:color w:val="000000"/>
                <w:sz w:val="24"/>
              </w:rPr>
              <w:t>解决处理，采购人不承担任何责任；有违反国家的法律、法规的，均由</w:t>
            </w:r>
            <w:r>
              <w:rPr>
                <w:rFonts w:hint="eastAsia"/>
                <w:color w:val="000000"/>
                <w:sz w:val="24"/>
                <w:lang w:eastAsia="zh-CN"/>
              </w:rPr>
              <w:t>供应商</w:t>
            </w:r>
            <w:r>
              <w:rPr>
                <w:color w:val="000000"/>
                <w:sz w:val="24"/>
              </w:rPr>
              <w:t>承担所有责任，与采购人无关。</w:t>
            </w:r>
          </w:p>
          <w:p w14:paraId="65386802">
            <w:r>
              <w:rPr>
                <w:color w:val="000000"/>
                <w:sz w:val="24"/>
              </w:rPr>
              <w:t>（5）采购人对运营岗位设置、人员选用与日常管理具有监督权和管理权。</w:t>
            </w:r>
            <w:r>
              <w:rPr>
                <w:rFonts w:hint="eastAsia"/>
                <w:color w:val="000000"/>
                <w:sz w:val="24"/>
                <w:lang w:eastAsia="zh-CN"/>
              </w:rPr>
              <w:t>供应商</w:t>
            </w:r>
            <w:r>
              <w:rPr>
                <w:color w:val="000000"/>
                <w:sz w:val="24"/>
              </w:rPr>
              <w:t>必须保证派驻本项目的所有工作人员的稳定性，如因特别原因确需更换工作人员的，须提前1个月向采购人提出书面申请，经采购人认可后方能更换。</w:t>
            </w:r>
          </w:p>
          <w:p w14:paraId="54756A16">
            <w:r>
              <w:rPr>
                <w:color w:val="000000"/>
                <w:sz w:val="24"/>
              </w:rPr>
              <w:t>（6）</w:t>
            </w:r>
            <w:r>
              <w:rPr>
                <w:rFonts w:hint="eastAsia"/>
                <w:color w:val="000000"/>
                <w:sz w:val="24"/>
                <w:lang w:eastAsia="zh-CN"/>
              </w:rPr>
              <w:t>供应商</w:t>
            </w:r>
            <w:r>
              <w:rPr>
                <w:color w:val="000000"/>
                <w:sz w:val="24"/>
              </w:rPr>
              <w:t>应本着诚实信用的原则付诸一切必要的技能，以专业、及时和高效的方式提供服务，且不得转包，不得允许从事该项目的工作人员有损采购人声誉或荣誉的一切行为发生，采购人有权给予</w:t>
            </w:r>
            <w:r>
              <w:rPr>
                <w:rFonts w:hint="eastAsia"/>
                <w:color w:val="000000"/>
                <w:sz w:val="24"/>
                <w:lang w:eastAsia="zh-CN"/>
              </w:rPr>
              <w:t>供应商</w:t>
            </w:r>
            <w:r>
              <w:rPr>
                <w:color w:val="000000"/>
                <w:sz w:val="24"/>
              </w:rPr>
              <w:t>进行经济处罚或追究法律责任。</w:t>
            </w:r>
          </w:p>
          <w:p w14:paraId="2338B195">
            <w:r>
              <w:rPr>
                <w:color w:val="000000"/>
                <w:sz w:val="24"/>
              </w:rPr>
              <w:t>（7）</w:t>
            </w:r>
            <w:r>
              <w:rPr>
                <w:rFonts w:hint="eastAsia"/>
                <w:color w:val="000000"/>
                <w:sz w:val="24"/>
                <w:lang w:eastAsia="zh-CN"/>
              </w:rPr>
              <w:t>供应商</w:t>
            </w:r>
            <w:r>
              <w:rPr>
                <w:color w:val="000000"/>
                <w:sz w:val="24"/>
              </w:rPr>
              <w:t>须对已完成的工作提供资料的整理编辑，以留作备案存档资料之用。</w:t>
            </w:r>
          </w:p>
          <w:p w14:paraId="7A7B250D">
            <w:r>
              <w:rPr>
                <w:color w:val="000000"/>
                <w:sz w:val="24"/>
              </w:rPr>
              <w:t>（8）在运营期间因运营单位操作不当造成排放不达标，由运营单位承担由此引起的一切经济损失及其连带处罚责任。</w:t>
            </w:r>
          </w:p>
        </w:tc>
      </w:tr>
    </w:tbl>
    <w:p w14:paraId="642D7990">
      <w:pPr>
        <w:rPr>
          <w:rFonts w:hint="default" w:eastAsiaTheme="minorEastAsia"/>
          <w:b/>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MGUyY2I1OWE3YTY0ZWMzNDU4ZGIzZThkNzZhZGUifQ=="/>
  </w:docVars>
  <w:rsids>
    <w:rsidRoot w:val="53B52B8D"/>
    <w:rsid w:val="0A2A4941"/>
    <w:rsid w:val="0AA47D81"/>
    <w:rsid w:val="0E9D22FB"/>
    <w:rsid w:val="0F81030D"/>
    <w:rsid w:val="16FD378F"/>
    <w:rsid w:val="177F50ED"/>
    <w:rsid w:val="250E72BF"/>
    <w:rsid w:val="287B392A"/>
    <w:rsid w:val="2A156674"/>
    <w:rsid w:val="387869AA"/>
    <w:rsid w:val="3A9641AB"/>
    <w:rsid w:val="3AB93C62"/>
    <w:rsid w:val="3BBC0614"/>
    <w:rsid w:val="53B52B8D"/>
    <w:rsid w:val="5E846C40"/>
    <w:rsid w:val="632B74E9"/>
    <w:rsid w:val="67423054"/>
    <w:rsid w:val="69A10859"/>
    <w:rsid w:val="6BE26A66"/>
    <w:rsid w:val="6D6B1F78"/>
    <w:rsid w:val="73F60AE0"/>
    <w:rsid w:val="77F79321"/>
    <w:rsid w:val="781F6A99"/>
    <w:rsid w:val="7F380F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5078</Words>
  <Characters>5214</Characters>
  <Lines>0</Lines>
  <Paragraphs>0</Paragraphs>
  <TotalTime>41</TotalTime>
  <ScaleCrop>false</ScaleCrop>
  <LinksUpToDate>false</LinksUpToDate>
  <CharactersWithSpaces>5225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强哥</cp:lastModifiedBy>
  <dcterms:modified xsi:type="dcterms:W3CDTF">2026-07-07T01:06:00Z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415A2B3DC6B748D2890E718AC04E2EB8_13</vt:lpwstr>
  </property>
  <property fmtid="{D5CDD505-2E9C-101B-9397-08002B2CF9AE}" pid="4" name="KSOTemplateDocerSaveRecord">
    <vt:lpwstr>eyJoZGlkIjoiMWI4MGUyY2I1OWE3YTY0ZWMzNDU4ZGIzZThkNzZhZGUiLCJ1c2VySWQiOiIzNTYzOTExODcifQ==</vt:lpwstr>
  </property>
</Properties>
</file>